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EC" w:rsidRDefault="00DD2FEC" w:rsidP="00DD2FEC"/>
    <w:p w:rsidR="00DD2FEC" w:rsidRDefault="00DD2FEC" w:rsidP="00DD2FEC"/>
    <w:p w:rsidR="00DD2FEC" w:rsidRDefault="00DD2FEC" w:rsidP="00DD2FEC"/>
    <w:p w:rsidR="00DD2FEC" w:rsidRDefault="00DD2FEC" w:rsidP="00DD2FEC"/>
    <w:p w:rsidR="00DD2FEC" w:rsidRDefault="00DD2FEC" w:rsidP="00DD2FEC"/>
    <w:p w:rsidR="004E452D" w:rsidRDefault="00B64754" w:rsidP="00B64754">
      <w:pPr>
        <w:pStyle w:val="Heading1"/>
      </w:pPr>
      <w:r w:rsidRPr="00B64754">
        <w:t>Standards for prescribing mapping</w:t>
      </w:r>
    </w:p>
    <w:p w:rsidR="00B64754" w:rsidRDefault="00B64754" w:rsidP="00B64754"/>
    <w:p w:rsidR="00CF1D53" w:rsidRDefault="00CF1D53" w:rsidP="00CF1D53">
      <w:pPr>
        <w:pStyle w:val="Heading2"/>
      </w:pPr>
      <w:r>
        <w:t xml:space="preserve">Evidence to provide – guidance and checklist </w:t>
      </w:r>
    </w:p>
    <w:p w:rsidR="00CF1D53" w:rsidRDefault="00CF1D53" w:rsidP="00CF1D53"/>
    <w:p w:rsidR="00CF1D53" w:rsidRPr="00AA1459" w:rsidRDefault="00CF1D53" w:rsidP="00CF1D53">
      <w:r>
        <w:t xml:space="preserve">The following should be used as a </w:t>
      </w:r>
      <w:r w:rsidRPr="00A72CE0">
        <w:rPr>
          <w:b/>
        </w:rPr>
        <w:t>guideline</w:t>
      </w:r>
      <w:r>
        <w:t xml:space="preserve"> when providing your documentary evidence, and as a </w:t>
      </w:r>
      <w:r w:rsidRPr="00A72CE0">
        <w:rPr>
          <w:b/>
        </w:rPr>
        <w:t>checklist</w:t>
      </w:r>
      <w:r>
        <w:t xml:space="preserve"> before you submit it to us. To ensure we are able to find information about how your programme meets the </w:t>
      </w:r>
      <w:r w:rsidRPr="00DE3BD6">
        <w:t>standar</w:t>
      </w:r>
      <w:bookmarkStart w:id="0" w:name="_GoBack"/>
      <w:bookmarkEnd w:id="0"/>
      <w:r w:rsidRPr="00DE3BD6">
        <w:t>ds,</w:t>
      </w:r>
      <w:r>
        <w:t xml:space="preserve"> please ensure that your evidence is</w:t>
      </w:r>
      <w:r w:rsidRPr="00DE3BD6">
        <w:t xml:space="preserve"> presented in a </w:t>
      </w:r>
      <w:r>
        <w:t xml:space="preserve">coherent and user-friendly way. </w:t>
      </w:r>
      <w:r w:rsidRPr="00620E5B">
        <w:rPr>
          <w:b/>
        </w:rPr>
        <w:t xml:space="preserve">If we are unable to navigate your documentation, we </w:t>
      </w:r>
      <w:r>
        <w:rPr>
          <w:b/>
        </w:rPr>
        <w:t>will ask you to resubmit</w:t>
      </w:r>
      <w:r w:rsidRPr="00620E5B">
        <w:rPr>
          <w:b/>
        </w:rPr>
        <w:t>.</w:t>
      </w:r>
      <w:r>
        <w:t xml:space="preserve"> Please see further guidance about submitting mapping and documentation </w:t>
      </w:r>
      <w:hyperlink r:id="rId8" w:history="1">
        <w:r w:rsidRPr="000B392C">
          <w:rPr>
            <w:rStyle w:val="Hyperlink"/>
          </w:rPr>
          <w:t>on our website</w:t>
        </w:r>
      </w:hyperlink>
      <w:r>
        <w:t>.</w:t>
      </w:r>
    </w:p>
    <w:p w:rsidR="00CF1D53" w:rsidRDefault="00CF1D53" w:rsidP="00CF1D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2"/>
      </w:tblGrid>
      <w:tr w:rsidR="00CF1D53" w:rsidRPr="00796BB4" w:rsidTr="00872FD0">
        <w:tc>
          <w:tcPr>
            <w:tcW w:w="14709" w:type="dxa"/>
            <w:shd w:val="clear" w:color="auto" w:fill="BFBFBF"/>
          </w:tcPr>
          <w:p w:rsidR="00CF1D53" w:rsidRPr="00796BB4" w:rsidRDefault="00CF1D53" w:rsidP="00872FD0">
            <w:pPr>
              <w:pStyle w:val="Heading2"/>
            </w:pPr>
            <w:r w:rsidRPr="00796BB4">
              <w:t>Please ensure that your evidence:</w:t>
            </w:r>
          </w:p>
        </w:tc>
      </w:tr>
      <w:tr w:rsidR="00CF1D53" w:rsidRPr="00796BB4" w:rsidTr="00872FD0">
        <w:tc>
          <w:tcPr>
            <w:tcW w:w="14709" w:type="dxa"/>
            <w:shd w:val="clear" w:color="auto" w:fill="auto"/>
          </w:tcPr>
          <w:p w:rsidR="00CF1D53" w:rsidRPr="00796BB4" w:rsidRDefault="00CF1D53" w:rsidP="00872FD0">
            <w:pPr>
              <w:numPr>
                <w:ilvl w:val="0"/>
                <w:numId w:val="7"/>
              </w:numPr>
            </w:pPr>
            <w:r w:rsidRPr="00796BB4">
              <w:t>Has clear document names</w:t>
            </w:r>
          </w:p>
        </w:tc>
      </w:tr>
      <w:tr w:rsidR="00CF1D53" w:rsidRPr="00796BB4" w:rsidTr="00872FD0">
        <w:tc>
          <w:tcPr>
            <w:tcW w:w="14709" w:type="dxa"/>
            <w:shd w:val="clear" w:color="auto" w:fill="auto"/>
          </w:tcPr>
          <w:p w:rsidR="00CF1D53" w:rsidRPr="00796BB4" w:rsidRDefault="00CF1D53" w:rsidP="00872FD0">
            <w:pPr>
              <w:numPr>
                <w:ilvl w:val="0"/>
                <w:numId w:val="7"/>
              </w:numPr>
            </w:pPr>
            <w:r w:rsidRPr="00796BB4">
              <w:t>Has clear headings</w:t>
            </w:r>
          </w:p>
        </w:tc>
      </w:tr>
      <w:tr w:rsidR="00CF1D53" w:rsidRPr="00796BB4" w:rsidTr="00872FD0">
        <w:tc>
          <w:tcPr>
            <w:tcW w:w="14709" w:type="dxa"/>
            <w:shd w:val="clear" w:color="auto" w:fill="auto"/>
          </w:tcPr>
          <w:p w:rsidR="00CF1D53" w:rsidRPr="00796BB4" w:rsidRDefault="00CF1D53" w:rsidP="00872FD0">
            <w:pPr>
              <w:numPr>
                <w:ilvl w:val="0"/>
                <w:numId w:val="7"/>
              </w:numPr>
            </w:pPr>
            <w:r w:rsidRPr="00796BB4">
              <w:t>Has page numbers</w:t>
            </w:r>
          </w:p>
        </w:tc>
      </w:tr>
      <w:tr w:rsidR="00CF1D53" w:rsidRPr="00796BB4" w:rsidTr="00872FD0">
        <w:tc>
          <w:tcPr>
            <w:tcW w:w="14709" w:type="dxa"/>
            <w:shd w:val="clear" w:color="auto" w:fill="auto"/>
          </w:tcPr>
          <w:p w:rsidR="00CF1D53" w:rsidRPr="00796BB4" w:rsidRDefault="00CF1D53" w:rsidP="00872FD0">
            <w:pPr>
              <w:numPr>
                <w:ilvl w:val="0"/>
                <w:numId w:val="7"/>
              </w:numPr>
            </w:pPr>
            <w:r w:rsidRPr="00796BB4">
              <w:t>Is grouped together into as few documents as possible</w:t>
            </w:r>
          </w:p>
        </w:tc>
      </w:tr>
      <w:tr w:rsidR="00CF1D53" w:rsidRPr="00796BB4" w:rsidTr="00872FD0">
        <w:tc>
          <w:tcPr>
            <w:tcW w:w="14709" w:type="dxa"/>
            <w:shd w:val="clear" w:color="auto" w:fill="auto"/>
          </w:tcPr>
          <w:p w:rsidR="00CF1D53" w:rsidRPr="00796BB4" w:rsidRDefault="00CF1D53" w:rsidP="00872FD0">
            <w:pPr>
              <w:numPr>
                <w:ilvl w:val="0"/>
                <w:numId w:val="7"/>
              </w:numPr>
            </w:pPr>
            <w:r>
              <w:t>Is not in WinZip files</w:t>
            </w:r>
          </w:p>
        </w:tc>
      </w:tr>
      <w:tr w:rsidR="00CF1D53" w:rsidRPr="00796BB4" w:rsidTr="00872FD0">
        <w:tc>
          <w:tcPr>
            <w:tcW w:w="14709" w:type="dxa"/>
            <w:shd w:val="clear" w:color="auto" w:fill="auto"/>
          </w:tcPr>
          <w:p w:rsidR="00CF1D53" w:rsidRPr="00796BB4" w:rsidRDefault="00CF1D53" w:rsidP="00872FD0">
            <w:pPr>
              <w:numPr>
                <w:ilvl w:val="0"/>
                <w:numId w:val="7"/>
              </w:numPr>
            </w:pPr>
            <w:r w:rsidRPr="00796BB4">
              <w:t>Only includes documentation referenced in your mapping</w:t>
            </w:r>
          </w:p>
        </w:tc>
      </w:tr>
      <w:tr w:rsidR="00CF1D53" w:rsidRPr="00796BB4" w:rsidTr="00872FD0">
        <w:tc>
          <w:tcPr>
            <w:tcW w:w="14709" w:type="dxa"/>
            <w:shd w:val="clear" w:color="auto" w:fill="auto"/>
          </w:tcPr>
          <w:p w:rsidR="00CF1D53" w:rsidRPr="00796BB4" w:rsidRDefault="00CF1D53" w:rsidP="00872FD0">
            <w:pPr>
              <w:numPr>
                <w:ilvl w:val="0"/>
                <w:numId w:val="7"/>
              </w:numPr>
            </w:pPr>
            <w:r w:rsidRPr="00872FD0">
              <w:rPr>
                <w:color w:val="000000"/>
              </w:rPr>
              <w:t>has any personally identifiable or sensitive information which is not necessary for us to consider in assessing your programme removed or redacted</w:t>
            </w:r>
          </w:p>
        </w:tc>
      </w:tr>
    </w:tbl>
    <w:p w:rsidR="00CF1D53" w:rsidRPr="0095321E" w:rsidRDefault="00CF1D53" w:rsidP="00CF1D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872"/>
        <w:gridCol w:w="1243"/>
        <w:gridCol w:w="3691"/>
      </w:tblGrid>
      <w:tr w:rsidR="00CF1D53" w:rsidTr="00872FD0">
        <w:tc>
          <w:tcPr>
            <w:tcW w:w="2802" w:type="dxa"/>
            <w:shd w:val="clear" w:color="auto" w:fill="BFBFBF"/>
          </w:tcPr>
          <w:p w:rsidR="00CF1D53" w:rsidRDefault="00CF1D53" w:rsidP="00872FD0">
            <w:pPr>
              <w:pStyle w:val="Heading2"/>
            </w:pPr>
            <w:r>
              <w:t>Type of evidence</w:t>
            </w:r>
          </w:p>
        </w:tc>
        <w:tc>
          <w:tcPr>
            <w:tcW w:w="7087" w:type="dxa"/>
            <w:shd w:val="clear" w:color="auto" w:fill="BFBFBF"/>
          </w:tcPr>
          <w:p w:rsidR="00CF1D53" w:rsidRDefault="00CF1D53" w:rsidP="00872FD0">
            <w:pPr>
              <w:pStyle w:val="Heading2"/>
            </w:pPr>
            <w:r>
              <w:t>Guidance</w:t>
            </w:r>
          </w:p>
        </w:tc>
        <w:tc>
          <w:tcPr>
            <w:tcW w:w="1099" w:type="dxa"/>
            <w:shd w:val="clear" w:color="auto" w:fill="BFBFBF"/>
          </w:tcPr>
          <w:p w:rsidR="00CF1D53" w:rsidRDefault="00CF1D53" w:rsidP="00872FD0">
            <w:pPr>
              <w:pStyle w:val="Heading2"/>
            </w:pPr>
            <w:r>
              <w:t>Provided (Yes / No / N/A)</w:t>
            </w:r>
          </w:p>
        </w:tc>
        <w:tc>
          <w:tcPr>
            <w:tcW w:w="3800" w:type="dxa"/>
            <w:shd w:val="clear" w:color="auto" w:fill="BFBFBF"/>
          </w:tcPr>
          <w:p w:rsidR="00CF1D53" w:rsidRDefault="00CF1D53" w:rsidP="00872FD0">
            <w:pPr>
              <w:pStyle w:val="Heading2"/>
            </w:pPr>
            <w:r>
              <w:t>Document name(s) / web link</w:t>
            </w:r>
          </w:p>
        </w:tc>
      </w:tr>
      <w:tr w:rsidR="00CF1D53" w:rsidRPr="00467F72" w:rsidTr="00872FD0">
        <w:tc>
          <w:tcPr>
            <w:tcW w:w="2802" w:type="dxa"/>
            <w:shd w:val="clear" w:color="auto" w:fill="auto"/>
          </w:tcPr>
          <w:p w:rsidR="00CF1D53" w:rsidRPr="00872FD0" w:rsidRDefault="00CF1D53" w:rsidP="00872FD0">
            <w:pPr>
              <w:pStyle w:val="Heading2"/>
              <w:rPr>
                <w:b w:val="0"/>
              </w:rPr>
            </w:pPr>
            <w:r w:rsidRPr="00872FD0">
              <w:rPr>
                <w:b w:val="0"/>
              </w:rPr>
              <w:t>Contents page or index</w:t>
            </w:r>
          </w:p>
        </w:tc>
        <w:tc>
          <w:tcPr>
            <w:tcW w:w="7087" w:type="dxa"/>
            <w:shd w:val="clear" w:color="auto" w:fill="auto"/>
          </w:tcPr>
          <w:p w:rsidR="00CF1D53" w:rsidRPr="00872FD0" w:rsidRDefault="00CF1D53" w:rsidP="00872FD0">
            <w:pPr>
              <w:pStyle w:val="Heading2"/>
              <w:rPr>
                <w:b w:val="0"/>
              </w:rPr>
            </w:pPr>
            <w:r w:rsidRPr="00872FD0">
              <w:rPr>
                <w:b w:val="0"/>
              </w:rPr>
              <w:t xml:space="preserve">A list of all documentation and information provided in your submission, including correct document names and page numbers. </w:t>
            </w:r>
          </w:p>
        </w:tc>
        <w:tc>
          <w:tcPr>
            <w:tcW w:w="1099" w:type="dxa"/>
            <w:shd w:val="clear" w:color="auto" w:fill="auto"/>
          </w:tcPr>
          <w:p w:rsidR="00CF1D53" w:rsidRPr="00872FD0" w:rsidRDefault="00CF1D53" w:rsidP="00872FD0">
            <w:pPr>
              <w:pStyle w:val="Heading2"/>
              <w:rPr>
                <w:b w:val="0"/>
              </w:rPr>
            </w:pPr>
          </w:p>
        </w:tc>
        <w:tc>
          <w:tcPr>
            <w:tcW w:w="3800" w:type="dxa"/>
            <w:shd w:val="clear" w:color="auto" w:fill="auto"/>
          </w:tcPr>
          <w:p w:rsidR="00CF1D53" w:rsidRPr="00872FD0" w:rsidRDefault="00CF1D53" w:rsidP="00872FD0">
            <w:pPr>
              <w:pStyle w:val="Heading2"/>
              <w:rPr>
                <w:b w:val="0"/>
              </w:rPr>
            </w:pPr>
          </w:p>
        </w:tc>
      </w:tr>
      <w:tr w:rsidR="00CF1D53" w:rsidRPr="000C6ED0" w:rsidTr="00872FD0">
        <w:tc>
          <w:tcPr>
            <w:tcW w:w="2802" w:type="dxa"/>
            <w:shd w:val="clear" w:color="auto" w:fill="auto"/>
          </w:tcPr>
          <w:p w:rsidR="00CF1D53" w:rsidRPr="00872FD0" w:rsidRDefault="00CF1D53" w:rsidP="00872FD0">
            <w:pPr>
              <w:pStyle w:val="Heading2"/>
              <w:rPr>
                <w:b w:val="0"/>
              </w:rPr>
            </w:pPr>
            <w:r w:rsidRPr="00872FD0">
              <w:rPr>
                <w:b w:val="0"/>
              </w:rPr>
              <w:t xml:space="preserve">Information about the programme, including relevant policies and </w:t>
            </w:r>
            <w:r w:rsidRPr="00872FD0">
              <w:rPr>
                <w:b w:val="0"/>
              </w:rPr>
              <w:lastRenderedPageBreak/>
              <w:t>procedures, and contractual agreements</w:t>
            </w:r>
          </w:p>
        </w:tc>
        <w:tc>
          <w:tcPr>
            <w:tcW w:w="7087" w:type="dxa"/>
            <w:shd w:val="clear" w:color="auto" w:fill="auto"/>
          </w:tcPr>
          <w:p w:rsidR="00CF1D53" w:rsidRPr="00872FD0" w:rsidRDefault="00CF1D53" w:rsidP="00872FD0">
            <w:pPr>
              <w:pStyle w:val="Heading2"/>
              <w:rPr>
                <w:b w:val="0"/>
              </w:rPr>
            </w:pPr>
            <w:r w:rsidRPr="00872FD0">
              <w:rPr>
                <w:b w:val="0"/>
              </w:rPr>
              <w:lastRenderedPageBreak/>
              <w:t xml:space="preserve">Information that sets out how the programme is intended to run, including the technical specification of the programme, and strategic intent. This might be a document created to </w:t>
            </w:r>
            <w:r w:rsidRPr="00872FD0">
              <w:rPr>
                <w:b w:val="0"/>
              </w:rPr>
              <w:lastRenderedPageBreak/>
              <w:t>support the event, to contextualise and explain the proposal to all parties involved.</w:t>
            </w:r>
          </w:p>
          <w:p w:rsidR="00CF1D53" w:rsidRDefault="00CF1D53" w:rsidP="00872FD0"/>
          <w:p w:rsidR="00CF1D53" w:rsidRPr="00111E03" w:rsidRDefault="00CF1D53" w:rsidP="004C1459">
            <w:r>
              <w:t xml:space="preserve">This evidence will be useful in considering how your programme meets </w:t>
            </w:r>
            <w:r w:rsidR="004C1459">
              <w:t>standard areas</w:t>
            </w:r>
            <w:r>
              <w:t xml:space="preserve"> </w:t>
            </w:r>
            <w:r w:rsidR="004C1459">
              <w:t>A</w:t>
            </w:r>
            <w:r>
              <w:t xml:space="preserve">, </w:t>
            </w:r>
            <w:r w:rsidR="004C1459">
              <w:t>B</w:t>
            </w:r>
            <w:r>
              <w:t xml:space="preserve">, </w:t>
            </w:r>
            <w:r w:rsidR="004C1459">
              <w:t>C</w:t>
            </w:r>
            <w:r>
              <w:t xml:space="preserve">, </w:t>
            </w:r>
            <w:r w:rsidR="004C1459">
              <w:t>D</w:t>
            </w:r>
            <w:r>
              <w:t xml:space="preserve"> and </w:t>
            </w:r>
            <w:r w:rsidR="004C1459">
              <w:t>E</w:t>
            </w:r>
            <w:r>
              <w:t>.</w:t>
            </w:r>
          </w:p>
        </w:tc>
        <w:tc>
          <w:tcPr>
            <w:tcW w:w="1099" w:type="dxa"/>
            <w:shd w:val="clear" w:color="auto" w:fill="auto"/>
          </w:tcPr>
          <w:p w:rsidR="00CF1D53" w:rsidRPr="00872FD0" w:rsidRDefault="00CF1D53" w:rsidP="00872FD0">
            <w:pPr>
              <w:pStyle w:val="Heading2"/>
              <w:rPr>
                <w:b w:val="0"/>
              </w:rPr>
            </w:pPr>
          </w:p>
        </w:tc>
        <w:tc>
          <w:tcPr>
            <w:tcW w:w="3800" w:type="dxa"/>
            <w:shd w:val="clear" w:color="auto" w:fill="auto"/>
          </w:tcPr>
          <w:p w:rsidR="00CF1D53" w:rsidRPr="00872FD0" w:rsidRDefault="00CF1D53" w:rsidP="00872FD0">
            <w:pPr>
              <w:pStyle w:val="Heading2"/>
              <w:rPr>
                <w:b w:val="0"/>
              </w:rPr>
            </w:pPr>
          </w:p>
        </w:tc>
      </w:tr>
      <w:tr w:rsidR="00CF1D53" w:rsidRPr="000C6ED0" w:rsidTr="00872FD0">
        <w:tc>
          <w:tcPr>
            <w:tcW w:w="2802" w:type="dxa"/>
            <w:shd w:val="clear" w:color="auto" w:fill="auto"/>
          </w:tcPr>
          <w:p w:rsidR="00CF1D53" w:rsidRPr="00872FD0" w:rsidRDefault="00CF1D53" w:rsidP="00872FD0">
            <w:pPr>
              <w:pStyle w:val="Heading2"/>
              <w:rPr>
                <w:b w:val="0"/>
              </w:rPr>
            </w:pPr>
            <w:r w:rsidRPr="00872FD0">
              <w:rPr>
                <w:b w:val="0"/>
              </w:rPr>
              <w:t>Descriptions of how the programme delivers and assesses learning</w:t>
            </w:r>
          </w:p>
        </w:tc>
        <w:tc>
          <w:tcPr>
            <w:tcW w:w="7087" w:type="dxa"/>
            <w:shd w:val="clear" w:color="auto" w:fill="auto"/>
          </w:tcPr>
          <w:p w:rsidR="00CF1D53" w:rsidRPr="00872FD0" w:rsidRDefault="00CF1D53" w:rsidP="00872FD0">
            <w:pPr>
              <w:pStyle w:val="Heading2"/>
              <w:rPr>
                <w:b w:val="0"/>
              </w:rPr>
            </w:pPr>
            <w:r w:rsidRPr="00872FD0">
              <w:rPr>
                <w:b w:val="0"/>
              </w:rPr>
              <w:t>Information that sets out what the programme will deliver to learners, and how assessments are set up to ensure learners meet the requirements of the programme on completion. This information might include module descriptors or handbooks, and should be detailed enough to allow the visitors to make a judgement that the programme delivers and assesses:</w:t>
            </w:r>
          </w:p>
          <w:p w:rsidR="00CF1D53" w:rsidRDefault="00CF1D53" w:rsidP="00872FD0">
            <w:pPr>
              <w:numPr>
                <w:ilvl w:val="0"/>
                <w:numId w:val="5"/>
              </w:numPr>
            </w:pPr>
            <w:r>
              <w:t>the relevant proficiency standards</w:t>
            </w:r>
          </w:p>
          <w:p w:rsidR="00CF1D53" w:rsidRDefault="00CF1D53" w:rsidP="00872FD0">
            <w:pPr>
              <w:numPr>
                <w:ilvl w:val="0"/>
                <w:numId w:val="5"/>
              </w:numPr>
            </w:pPr>
            <w:r>
              <w:t>the standards of conduct, performance, and ethics.</w:t>
            </w:r>
          </w:p>
          <w:p w:rsidR="00CF1D53" w:rsidRDefault="00CF1D53" w:rsidP="00872FD0"/>
          <w:p w:rsidR="00CF1D53" w:rsidRPr="00C71277" w:rsidRDefault="00CF1D53" w:rsidP="004C1459">
            <w:r>
              <w:t xml:space="preserve">This evidence will be useful in considering how your programme meets </w:t>
            </w:r>
            <w:r w:rsidR="004C1459">
              <w:t>standard areas C</w:t>
            </w:r>
            <w:r>
              <w:t xml:space="preserve"> and </w:t>
            </w:r>
            <w:r w:rsidR="004C1459">
              <w:t>E</w:t>
            </w:r>
            <w:r>
              <w:t>.</w:t>
            </w:r>
          </w:p>
        </w:tc>
        <w:tc>
          <w:tcPr>
            <w:tcW w:w="1099" w:type="dxa"/>
            <w:shd w:val="clear" w:color="auto" w:fill="auto"/>
          </w:tcPr>
          <w:p w:rsidR="00CF1D53" w:rsidRPr="00872FD0" w:rsidRDefault="00CF1D53" w:rsidP="00872FD0">
            <w:pPr>
              <w:pStyle w:val="Heading2"/>
              <w:rPr>
                <w:b w:val="0"/>
              </w:rPr>
            </w:pPr>
          </w:p>
        </w:tc>
        <w:tc>
          <w:tcPr>
            <w:tcW w:w="3800" w:type="dxa"/>
            <w:shd w:val="clear" w:color="auto" w:fill="auto"/>
          </w:tcPr>
          <w:p w:rsidR="00CF1D53" w:rsidRPr="00872FD0" w:rsidRDefault="00CF1D53" w:rsidP="00872FD0">
            <w:pPr>
              <w:pStyle w:val="Heading2"/>
              <w:rPr>
                <w:b w:val="0"/>
              </w:rPr>
            </w:pPr>
          </w:p>
        </w:tc>
      </w:tr>
      <w:tr w:rsidR="00CF1D53" w:rsidRPr="0027570E" w:rsidTr="00872FD0">
        <w:tc>
          <w:tcPr>
            <w:tcW w:w="2802" w:type="dxa"/>
            <w:shd w:val="clear" w:color="auto" w:fill="auto"/>
          </w:tcPr>
          <w:p w:rsidR="00CF1D53" w:rsidRPr="00872FD0" w:rsidRDefault="00CF1D53" w:rsidP="00872FD0">
            <w:pPr>
              <w:pStyle w:val="Heading2"/>
              <w:rPr>
                <w:b w:val="0"/>
              </w:rPr>
            </w:pPr>
            <w:r w:rsidRPr="00872FD0">
              <w:rPr>
                <w:b w:val="0"/>
              </w:rPr>
              <w:t>Proficiency standards mapping</w:t>
            </w:r>
          </w:p>
        </w:tc>
        <w:tc>
          <w:tcPr>
            <w:tcW w:w="7087" w:type="dxa"/>
            <w:shd w:val="clear" w:color="auto" w:fill="auto"/>
          </w:tcPr>
          <w:p w:rsidR="00CF1D53" w:rsidRPr="00872FD0" w:rsidRDefault="00CF1D53" w:rsidP="00872FD0">
            <w:pPr>
              <w:pStyle w:val="Heading2"/>
              <w:rPr>
                <w:b w:val="0"/>
              </w:rPr>
            </w:pPr>
            <w:r w:rsidRPr="00872FD0">
              <w:rPr>
                <w:b w:val="0"/>
              </w:rPr>
              <w:t>Our pro-forma, mapping our proficiency standards to your learning outcomes.</w:t>
            </w:r>
          </w:p>
          <w:p w:rsidR="00CF1D53" w:rsidRDefault="00CF1D53" w:rsidP="00872FD0"/>
          <w:p w:rsidR="00CF1D53" w:rsidRPr="00111E03" w:rsidRDefault="00CF1D53" w:rsidP="004C1459">
            <w:r>
              <w:t xml:space="preserve">This evidence will be useful in considering how your programme meets </w:t>
            </w:r>
            <w:r w:rsidR="004C1459">
              <w:t>standard areas C</w:t>
            </w:r>
            <w:r>
              <w:t xml:space="preserve"> and </w:t>
            </w:r>
            <w:r w:rsidR="004C1459">
              <w:t>E</w:t>
            </w:r>
            <w:r>
              <w:t>.</w:t>
            </w:r>
          </w:p>
        </w:tc>
        <w:tc>
          <w:tcPr>
            <w:tcW w:w="1099" w:type="dxa"/>
            <w:shd w:val="clear" w:color="auto" w:fill="auto"/>
          </w:tcPr>
          <w:p w:rsidR="00CF1D53" w:rsidRPr="00872FD0" w:rsidRDefault="00CF1D53" w:rsidP="00872FD0">
            <w:pPr>
              <w:pStyle w:val="Heading2"/>
              <w:rPr>
                <w:b w:val="0"/>
              </w:rPr>
            </w:pPr>
          </w:p>
        </w:tc>
        <w:tc>
          <w:tcPr>
            <w:tcW w:w="3800" w:type="dxa"/>
            <w:shd w:val="clear" w:color="auto" w:fill="auto"/>
          </w:tcPr>
          <w:p w:rsidR="00CF1D53" w:rsidRPr="00872FD0" w:rsidRDefault="00CF1D53" w:rsidP="00872FD0">
            <w:pPr>
              <w:pStyle w:val="Heading2"/>
              <w:rPr>
                <w:b w:val="0"/>
              </w:rPr>
            </w:pPr>
          </w:p>
        </w:tc>
      </w:tr>
      <w:tr w:rsidR="00CF1D53" w:rsidRPr="0027570E" w:rsidTr="00872FD0">
        <w:tc>
          <w:tcPr>
            <w:tcW w:w="2802" w:type="dxa"/>
            <w:shd w:val="clear" w:color="auto" w:fill="auto"/>
          </w:tcPr>
          <w:p w:rsidR="00CF1D53" w:rsidRPr="00872FD0" w:rsidRDefault="00CF1D53" w:rsidP="00872FD0">
            <w:pPr>
              <w:pStyle w:val="Heading2"/>
              <w:rPr>
                <w:b w:val="0"/>
              </w:rPr>
            </w:pPr>
            <w:r w:rsidRPr="00872FD0">
              <w:rPr>
                <w:b w:val="0"/>
              </w:rPr>
              <w:t>Information provided to applicants and learners</w:t>
            </w:r>
          </w:p>
        </w:tc>
        <w:tc>
          <w:tcPr>
            <w:tcW w:w="7087" w:type="dxa"/>
            <w:shd w:val="clear" w:color="auto" w:fill="auto"/>
          </w:tcPr>
          <w:p w:rsidR="00CF1D53" w:rsidRPr="00872FD0" w:rsidRDefault="00CF1D53" w:rsidP="00872FD0">
            <w:pPr>
              <w:pStyle w:val="Heading2"/>
              <w:rPr>
                <w:b w:val="0"/>
              </w:rPr>
            </w:pPr>
            <w:r w:rsidRPr="00872FD0">
              <w:rPr>
                <w:b w:val="0"/>
              </w:rPr>
              <w:t>Information to help applicants and learners understand the requirements of the programme, and what they can expect from you. This might include information about resources, and policies and procedures that they need to aware of. This information might be contained in a ‘handbook’, but might also be accessible via electronic means.</w:t>
            </w:r>
          </w:p>
          <w:p w:rsidR="00CF1D53" w:rsidRDefault="00CF1D53" w:rsidP="00872FD0"/>
          <w:p w:rsidR="00CF1D53" w:rsidRPr="00111E03" w:rsidRDefault="00CF1D53" w:rsidP="004C1459">
            <w:r>
              <w:t xml:space="preserve">This evidence will be useful in considering how your programme meets </w:t>
            </w:r>
            <w:r w:rsidR="004C1459">
              <w:t>standard areas A</w:t>
            </w:r>
            <w:r>
              <w:t xml:space="preserve">, </w:t>
            </w:r>
            <w:r w:rsidR="004C1459">
              <w:t>B</w:t>
            </w:r>
            <w:r>
              <w:t xml:space="preserve">, </w:t>
            </w:r>
            <w:r w:rsidR="004C1459">
              <w:t>C</w:t>
            </w:r>
            <w:r>
              <w:t xml:space="preserve">, </w:t>
            </w:r>
            <w:r w:rsidR="004C1459">
              <w:t>D</w:t>
            </w:r>
            <w:r>
              <w:t xml:space="preserve"> and </w:t>
            </w:r>
            <w:r w:rsidR="004C1459">
              <w:t>E</w:t>
            </w:r>
            <w:r>
              <w:t>.</w:t>
            </w:r>
          </w:p>
        </w:tc>
        <w:tc>
          <w:tcPr>
            <w:tcW w:w="1099" w:type="dxa"/>
            <w:shd w:val="clear" w:color="auto" w:fill="auto"/>
          </w:tcPr>
          <w:p w:rsidR="00CF1D53" w:rsidRPr="00872FD0" w:rsidRDefault="00CF1D53" w:rsidP="00872FD0">
            <w:pPr>
              <w:pStyle w:val="Heading2"/>
              <w:rPr>
                <w:b w:val="0"/>
              </w:rPr>
            </w:pPr>
          </w:p>
        </w:tc>
        <w:tc>
          <w:tcPr>
            <w:tcW w:w="3800" w:type="dxa"/>
            <w:shd w:val="clear" w:color="auto" w:fill="auto"/>
          </w:tcPr>
          <w:p w:rsidR="00CF1D53" w:rsidRPr="00872FD0" w:rsidRDefault="00CF1D53" w:rsidP="00872FD0">
            <w:pPr>
              <w:pStyle w:val="Heading2"/>
              <w:rPr>
                <w:b w:val="0"/>
              </w:rPr>
            </w:pPr>
          </w:p>
        </w:tc>
      </w:tr>
      <w:tr w:rsidR="00CF1D53" w:rsidRPr="0027570E" w:rsidTr="00872FD0">
        <w:tc>
          <w:tcPr>
            <w:tcW w:w="2802" w:type="dxa"/>
            <w:shd w:val="clear" w:color="auto" w:fill="auto"/>
          </w:tcPr>
          <w:p w:rsidR="00CF1D53" w:rsidRPr="00872FD0" w:rsidRDefault="00CF1D53" w:rsidP="00872FD0">
            <w:pPr>
              <w:pStyle w:val="Heading2"/>
              <w:rPr>
                <w:b w:val="0"/>
              </w:rPr>
            </w:pPr>
            <w:r w:rsidRPr="00872FD0">
              <w:rPr>
                <w:b w:val="0"/>
              </w:rPr>
              <w:t>Information for those involved with practice-based learning</w:t>
            </w:r>
          </w:p>
        </w:tc>
        <w:tc>
          <w:tcPr>
            <w:tcW w:w="7087" w:type="dxa"/>
            <w:shd w:val="clear" w:color="auto" w:fill="auto"/>
          </w:tcPr>
          <w:p w:rsidR="00CF1D53" w:rsidRPr="00872FD0" w:rsidRDefault="00CF1D53" w:rsidP="00872FD0">
            <w:pPr>
              <w:pStyle w:val="Heading2"/>
              <w:rPr>
                <w:b w:val="0"/>
              </w:rPr>
            </w:pPr>
            <w:r w:rsidRPr="00872FD0">
              <w:rPr>
                <w:b w:val="0"/>
              </w:rPr>
              <w:t>Information to help those involved in practice-based learning (learners, practice educators, practice providers) understand the requirements of the programme, and what they can expect from you. This might include information about resources, and policies and procedures that they need to aware of. This information might be contained in a ‘handbook’, but might also be accessible via electronic means.</w:t>
            </w:r>
          </w:p>
          <w:p w:rsidR="00CF1D53" w:rsidRDefault="00CF1D53" w:rsidP="00872FD0"/>
          <w:p w:rsidR="00CF1D53" w:rsidRPr="00C9736F" w:rsidRDefault="00CF1D53" w:rsidP="004C1459">
            <w:r>
              <w:t xml:space="preserve">This evidence will be useful in considering how your programme meets </w:t>
            </w:r>
            <w:r w:rsidR="004C1459">
              <w:t>standard areas B</w:t>
            </w:r>
            <w:r>
              <w:t xml:space="preserve"> and </w:t>
            </w:r>
            <w:r w:rsidR="004C1459">
              <w:t>D</w:t>
            </w:r>
            <w:r>
              <w:t>.</w:t>
            </w:r>
          </w:p>
        </w:tc>
        <w:tc>
          <w:tcPr>
            <w:tcW w:w="1099" w:type="dxa"/>
            <w:shd w:val="clear" w:color="auto" w:fill="auto"/>
          </w:tcPr>
          <w:p w:rsidR="00CF1D53" w:rsidRPr="00872FD0" w:rsidRDefault="00CF1D53" w:rsidP="00872FD0">
            <w:pPr>
              <w:pStyle w:val="Heading2"/>
              <w:rPr>
                <w:b w:val="0"/>
              </w:rPr>
            </w:pPr>
          </w:p>
        </w:tc>
        <w:tc>
          <w:tcPr>
            <w:tcW w:w="3800" w:type="dxa"/>
            <w:shd w:val="clear" w:color="auto" w:fill="auto"/>
          </w:tcPr>
          <w:p w:rsidR="00CF1D53" w:rsidRPr="00872FD0" w:rsidRDefault="00CF1D53" w:rsidP="00872FD0">
            <w:pPr>
              <w:pStyle w:val="Heading2"/>
              <w:rPr>
                <w:b w:val="0"/>
              </w:rPr>
            </w:pPr>
          </w:p>
        </w:tc>
      </w:tr>
      <w:tr w:rsidR="00CF1D53" w:rsidRPr="0027570E" w:rsidTr="00872FD0">
        <w:tc>
          <w:tcPr>
            <w:tcW w:w="2802" w:type="dxa"/>
            <w:shd w:val="clear" w:color="auto" w:fill="auto"/>
          </w:tcPr>
          <w:p w:rsidR="00CF1D53" w:rsidRPr="00872FD0" w:rsidRDefault="00CF1D53" w:rsidP="00872FD0">
            <w:pPr>
              <w:pStyle w:val="Heading2"/>
              <w:rPr>
                <w:b w:val="0"/>
              </w:rPr>
            </w:pPr>
            <w:r w:rsidRPr="00872FD0">
              <w:rPr>
                <w:b w:val="0"/>
              </w:rPr>
              <w:t>Information that shows how staff resources are sufficient for the delivery of the programme</w:t>
            </w:r>
          </w:p>
        </w:tc>
        <w:tc>
          <w:tcPr>
            <w:tcW w:w="7087" w:type="dxa"/>
            <w:shd w:val="clear" w:color="auto" w:fill="auto"/>
          </w:tcPr>
          <w:p w:rsidR="00CF1D53" w:rsidRPr="00872FD0" w:rsidRDefault="00CF1D53" w:rsidP="00872FD0">
            <w:pPr>
              <w:pStyle w:val="Heading2"/>
              <w:rPr>
                <w:b w:val="0"/>
              </w:rPr>
            </w:pPr>
            <w:r w:rsidRPr="00872FD0">
              <w:rPr>
                <w:b w:val="0"/>
              </w:rPr>
              <w:t>Information that sets out the knowledge and experience of staff, and how staff will be utilised to ensure the programme is managed effectively. This might include staff CVs, information about the management structure and how staff resources will be used.</w:t>
            </w:r>
          </w:p>
          <w:p w:rsidR="00CF1D53" w:rsidRDefault="00CF1D53" w:rsidP="00872FD0"/>
          <w:p w:rsidR="00CF1D53" w:rsidRPr="00C9736F" w:rsidRDefault="00CF1D53" w:rsidP="004C1459">
            <w:r>
              <w:t xml:space="preserve">This evidence will be useful in considering how your programme meets </w:t>
            </w:r>
            <w:r w:rsidR="004C1459">
              <w:t>standard areas B</w:t>
            </w:r>
            <w:r>
              <w:t>.</w:t>
            </w:r>
          </w:p>
        </w:tc>
        <w:tc>
          <w:tcPr>
            <w:tcW w:w="1099" w:type="dxa"/>
            <w:shd w:val="clear" w:color="auto" w:fill="auto"/>
          </w:tcPr>
          <w:p w:rsidR="00CF1D53" w:rsidRPr="00872FD0" w:rsidRDefault="00CF1D53" w:rsidP="00872FD0">
            <w:pPr>
              <w:pStyle w:val="Heading2"/>
              <w:rPr>
                <w:b w:val="0"/>
              </w:rPr>
            </w:pPr>
          </w:p>
        </w:tc>
        <w:tc>
          <w:tcPr>
            <w:tcW w:w="3800" w:type="dxa"/>
            <w:shd w:val="clear" w:color="auto" w:fill="auto"/>
          </w:tcPr>
          <w:p w:rsidR="00CF1D53" w:rsidRPr="00872FD0" w:rsidRDefault="00CF1D53" w:rsidP="00872FD0">
            <w:pPr>
              <w:pStyle w:val="Heading2"/>
              <w:rPr>
                <w:b w:val="0"/>
              </w:rPr>
            </w:pPr>
          </w:p>
        </w:tc>
      </w:tr>
      <w:tr w:rsidR="00CF1D53" w:rsidRPr="0027570E" w:rsidTr="00872FD0">
        <w:tc>
          <w:tcPr>
            <w:tcW w:w="2802" w:type="dxa"/>
            <w:shd w:val="clear" w:color="auto" w:fill="auto"/>
          </w:tcPr>
          <w:p w:rsidR="00CF1D53" w:rsidRPr="00872FD0" w:rsidRDefault="00CF1D53" w:rsidP="005922CD">
            <w:pPr>
              <w:pStyle w:val="Heading2"/>
              <w:rPr>
                <w:b w:val="0"/>
              </w:rPr>
            </w:pPr>
            <w:r w:rsidRPr="00872FD0">
              <w:rPr>
                <w:b w:val="0"/>
              </w:rPr>
              <w:t>Internal quality monitoring documentation (</w:t>
            </w:r>
            <w:r w:rsidR="005922CD">
              <w:rPr>
                <w:b w:val="0"/>
              </w:rPr>
              <w:t>i</w:t>
            </w:r>
            <w:r w:rsidRPr="00872FD0">
              <w:rPr>
                <w:b w:val="0"/>
              </w:rPr>
              <w:t>f the programme (or a previous version) is currently running)</w:t>
            </w:r>
          </w:p>
        </w:tc>
        <w:tc>
          <w:tcPr>
            <w:tcW w:w="7087" w:type="dxa"/>
            <w:shd w:val="clear" w:color="auto" w:fill="auto"/>
          </w:tcPr>
          <w:p w:rsidR="00CF1D53" w:rsidRPr="00872FD0" w:rsidRDefault="00CF1D53" w:rsidP="00872FD0">
            <w:pPr>
              <w:pStyle w:val="Heading2"/>
              <w:rPr>
                <w:b w:val="0"/>
              </w:rPr>
            </w:pPr>
            <w:r w:rsidRPr="00872FD0">
              <w:rPr>
                <w:b w:val="0"/>
              </w:rPr>
              <w:t>This would normally be an overall report produced for your purposes, including:</w:t>
            </w:r>
          </w:p>
          <w:p w:rsidR="00CF1D53" w:rsidRPr="00872FD0" w:rsidRDefault="00CF1D53" w:rsidP="00872FD0">
            <w:pPr>
              <w:pStyle w:val="Heading2"/>
              <w:numPr>
                <w:ilvl w:val="0"/>
                <w:numId w:val="6"/>
              </w:numPr>
              <w:rPr>
                <w:b w:val="0"/>
              </w:rPr>
            </w:pPr>
            <w:r w:rsidRPr="00872FD0">
              <w:rPr>
                <w:b w:val="0"/>
              </w:rPr>
              <w:t>Information about how you have monitored the programme</w:t>
            </w:r>
          </w:p>
          <w:p w:rsidR="00CF1D53" w:rsidRPr="00872FD0" w:rsidRDefault="00CF1D53" w:rsidP="00872FD0">
            <w:pPr>
              <w:pStyle w:val="Heading2"/>
              <w:numPr>
                <w:ilvl w:val="0"/>
                <w:numId w:val="6"/>
              </w:numPr>
              <w:rPr>
                <w:b w:val="0"/>
              </w:rPr>
            </w:pPr>
            <w:r w:rsidRPr="00872FD0">
              <w:rPr>
                <w:b w:val="0"/>
              </w:rPr>
              <w:t>Monitoring of practice-based learning</w:t>
            </w:r>
          </w:p>
          <w:p w:rsidR="00CF1D53" w:rsidRPr="00111E03" w:rsidRDefault="00CF1D53" w:rsidP="00872FD0">
            <w:pPr>
              <w:numPr>
                <w:ilvl w:val="0"/>
                <w:numId w:val="6"/>
              </w:numPr>
            </w:pPr>
            <w:r>
              <w:t>Monitoring of service user and carer involvement</w:t>
            </w:r>
          </w:p>
          <w:p w:rsidR="00CF1D53" w:rsidRPr="00872FD0" w:rsidRDefault="00CF1D53" w:rsidP="00872FD0">
            <w:pPr>
              <w:pStyle w:val="Heading2"/>
              <w:numPr>
                <w:ilvl w:val="0"/>
                <w:numId w:val="6"/>
              </w:numPr>
              <w:rPr>
                <w:b w:val="0"/>
              </w:rPr>
            </w:pPr>
            <w:r w:rsidRPr="00872FD0">
              <w:rPr>
                <w:b w:val="0"/>
              </w:rPr>
              <w:t>External examiner reports and your responses to these reports</w:t>
            </w:r>
          </w:p>
          <w:p w:rsidR="00CF1D53" w:rsidRDefault="00CF1D53" w:rsidP="00872FD0">
            <w:pPr>
              <w:numPr>
                <w:ilvl w:val="0"/>
                <w:numId w:val="6"/>
              </w:numPr>
            </w:pPr>
            <w:r>
              <w:t>What actions you have taken as a result of monitoring</w:t>
            </w:r>
          </w:p>
          <w:p w:rsidR="00CF1D53" w:rsidRDefault="00CF1D53" w:rsidP="00872FD0"/>
          <w:p w:rsidR="00CF1D53" w:rsidRPr="00111E03" w:rsidRDefault="00CF1D53" w:rsidP="004C1459">
            <w:r>
              <w:t xml:space="preserve">This evidence will be useful in considering how your programme meets </w:t>
            </w:r>
            <w:r w:rsidR="004C1459">
              <w:t>standard areas B</w:t>
            </w:r>
            <w:r>
              <w:t xml:space="preserve"> and </w:t>
            </w:r>
            <w:r w:rsidR="004C1459">
              <w:t>D</w:t>
            </w:r>
            <w:r>
              <w:t>.</w:t>
            </w:r>
          </w:p>
        </w:tc>
        <w:tc>
          <w:tcPr>
            <w:tcW w:w="1099" w:type="dxa"/>
            <w:shd w:val="clear" w:color="auto" w:fill="auto"/>
          </w:tcPr>
          <w:p w:rsidR="00CF1D53" w:rsidRPr="00872FD0" w:rsidRDefault="00CF1D53" w:rsidP="00872FD0">
            <w:pPr>
              <w:pStyle w:val="Heading2"/>
              <w:rPr>
                <w:b w:val="0"/>
              </w:rPr>
            </w:pPr>
          </w:p>
        </w:tc>
        <w:tc>
          <w:tcPr>
            <w:tcW w:w="3800" w:type="dxa"/>
            <w:shd w:val="clear" w:color="auto" w:fill="auto"/>
          </w:tcPr>
          <w:p w:rsidR="00CF1D53" w:rsidRPr="00872FD0" w:rsidRDefault="00CF1D53" w:rsidP="00872FD0">
            <w:pPr>
              <w:pStyle w:val="Heading2"/>
              <w:rPr>
                <w:b w:val="0"/>
              </w:rPr>
            </w:pPr>
          </w:p>
        </w:tc>
      </w:tr>
    </w:tbl>
    <w:p w:rsidR="00CF1D53" w:rsidRDefault="00CF1D53" w:rsidP="00CF1D53"/>
    <w:p w:rsidR="00CF1D53" w:rsidRDefault="00CF1D53" w:rsidP="00CF1D53"/>
    <w:p w:rsidR="00CF1D53" w:rsidRPr="00796BB4" w:rsidRDefault="00CF1D53" w:rsidP="00CF1D53"/>
    <w:p w:rsidR="00CF1D53" w:rsidRDefault="00CF1D53" w:rsidP="00CF1D53">
      <w:pPr>
        <w:pStyle w:val="Heading1"/>
      </w:pPr>
      <w:r>
        <w:br w:type="page"/>
        <w:t>Mapping</w:t>
      </w:r>
    </w:p>
    <w:p w:rsidR="00CF1D53" w:rsidRDefault="00CF1D53" w:rsidP="00CF1D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tblGrid>
      <w:tr w:rsidR="00CF1D53" w:rsidRPr="00796BB4" w:rsidTr="00872FD0">
        <w:tc>
          <w:tcPr>
            <w:tcW w:w="7054" w:type="dxa"/>
            <w:shd w:val="clear" w:color="auto" w:fill="BFBFBF"/>
          </w:tcPr>
          <w:p w:rsidR="00CF1D53" w:rsidRPr="00796BB4" w:rsidRDefault="00CF1D53" w:rsidP="00872FD0">
            <w:pPr>
              <w:pStyle w:val="Heading2"/>
            </w:pPr>
            <w:r w:rsidRPr="00796BB4">
              <w:t>Please ensure that your mapping:</w:t>
            </w:r>
          </w:p>
        </w:tc>
      </w:tr>
      <w:tr w:rsidR="00CF1D53" w:rsidRPr="00796BB4" w:rsidTr="00872FD0">
        <w:tc>
          <w:tcPr>
            <w:tcW w:w="7054" w:type="dxa"/>
            <w:shd w:val="clear" w:color="auto" w:fill="auto"/>
          </w:tcPr>
          <w:p w:rsidR="00CF1D53" w:rsidRPr="00796BB4" w:rsidRDefault="00CF1D53" w:rsidP="00872FD0">
            <w:pPr>
              <w:pStyle w:val="ListParagraph"/>
              <w:numPr>
                <w:ilvl w:val="0"/>
                <w:numId w:val="3"/>
              </w:numPr>
            </w:pPr>
            <w:r w:rsidRPr="00796BB4">
              <w:t>references exact document titles</w:t>
            </w:r>
          </w:p>
        </w:tc>
      </w:tr>
      <w:tr w:rsidR="00CF1D53" w:rsidRPr="00796BB4" w:rsidTr="00872FD0">
        <w:tc>
          <w:tcPr>
            <w:tcW w:w="7054" w:type="dxa"/>
            <w:shd w:val="clear" w:color="auto" w:fill="auto"/>
          </w:tcPr>
          <w:p w:rsidR="00CF1D53" w:rsidRPr="00796BB4" w:rsidRDefault="00CF1D53" w:rsidP="00872FD0">
            <w:pPr>
              <w:pStyle w:val="ListParagraph"/>
              <w:numPr>
                <w:ilvl w:val="0"/>
                <w:numId w:val="3"/>
              </w:numPr>
            </w:pPr>
            <w:r w:rsidRPr="00796BB4">
              <w:t>contains accessible web links (ie not accessible only via an internal intranet)</w:t>
            </w:r>
          </w:p>
        </w:tc>
      </w:tr>
      <w:tr w:rsidR="00CF1D53" w:rsidRPr="00796BB4" w:rsidTr="00872FD0">
        <w:tc>
          <w:tcPr>
            <w:tcW w:w="7054" w:type="dxa"/>
            <w:shd w:val="clear" w:color="auto" w:fill="auto"/>
          </w:tcPr>
          <w:p w:rsidR="00CF1D53" w:rsidRPr="00796BB4" w:rsidRDefault="00CF1D53" w:rsidP="00872FD0">
            <w:pPr>
              <w:pStyle w:val="ListParagraph"/>
              <w:numPr>
                <w:ilvl w:val="0"/>
                <w:numId w:val="3"/>
              </w:numPr>
            </w:pPr>
            <w:r w:rsidRPr="00796BB4">
              <w:t>references correct page and paragraph numbers</w:t>
            </w:r>
          </w:p>
        </w:tc>
      </w:tr>
    </w:tbl>
    <w:p w:rsidR="00CF1D53" w:rsidRDefault="00CF1D53" w:rsidP="00A25DDF">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48"/>
        <w:gridCol w:w="4856"/>
      </w:tblGrid>
      <w:tr w:rsidR="00CF1D53" w:rsidRPr="006C7E37" w:rsidTr="00F61600">
        <w:trPr>
          <w:cantSplit/>
          <w:tblHeader/>
        </w:trPr>
        <w:tc>
          <w:tcPr>
            <w:tcW w:w="4858" w:type="dxa"/>
            <w:shd w:val="clear" w:color="auto" w:fill="BFBFBF"/>
          </w:tcPr>
          <w:p w:rsidR="00CF1D53" w:rsidRPr="006C7E37" w:rsidRDefault="00CF1D53" w:rsidP="006C7E37">
            <w:pPr>
              <w:spacing w:before="60" w:after="60"/>
              <w:rPr>
                <w:b/>
              </w:rPr>
            </w:pPr>
            <w:r w:rsidRPr="006C7E37">
              <w:rPr>
                <w:b/>
              </w:rPr>
              <w:t>Standard for education providers</w:t>
            </w:r>
          </w:p>
        </w:tc>
        <w:tc>
          <w:tcPr>
            <w:tcW w:w="4848" w:type="dxa"/>
            <w:shd w:val="clear" w:color="auto" w:fill="BFBFBF"/>
          </w:tcPr>
          <w:p w:rsidR="00CF1D53" w:rsidRPr="006C7E37" w:rsidRDefault="00CF1D53" w:rsidP="006C7E37">
            <w:pPr>
              <w:spacing w:before="60" w:after="60"/>
              <w:rPr>
                <w:b/>
              </w:rPr>
            </w:pPr>
            <w:r>
              <w:rPr>
                <w:b/>
              </w:rPr>
              <w:t>How do you meet this standard?</w:t>
            </w:r>
          </w:p>
        </w:tc>
        <w:tc>
          <w:tcPr>
            <w:tcW w:w="4856" w:type="dxa"/>
            <w:shd w:val="clear" w:color="auto" w:fill="BFBFBF"/>
          </w:tcPr>
          <w:p w:rsidR="00CF1D53" w:rsidRPr="006C7E37" w:rsidRDefault="00CF1D53" w:rsidP="006C7E37">
            <w:pPr>
              <w:spacing w:before="60" w:after="60"/>
              <w:rPr>
                <w:b/>
              </w:rPr>
            </w:pPr>
            <w:r w:rsidRPr="006C7E37">
              <w:rPr>
                <w:b/>
              </w:rPr>
              <w:t xml:space="preserve">Where can evidence be found to demonstrate that you meet this standard? </w:t>
            </w:r>
            <w:r w:rsidRPr="00CF1D53">
              <w:t>(eg Programme spec, page 7, paragraph 4)</w:t>
            </w:r>
          </w:p>
        </w:tc>
      </w:tr>
      <w:tr w:rsidR="00AF4B9E" w:rsidRPr="006C7E37" w:rsidTr="00F61600">
        <w:trPr>
          <w:cantSplit/>
        </w:trPr>
        <w:tc>
          <w:tcPr>
            <w:tcW w:w="14562" w:type="dxa"/>
            <w:gridSpan w:val="3"/>
            <w:shd w:val="clear" w:color="auto" w:fill="BFBFBF"/>
          </w:tcPr>
          <w:p w:rsidR="00AF4B9E" w:rsidRPr="006C7E37" w:rsidRDefault="00AF4B9E" w:rsidP="006C7E37">
            <w:pPr>
              <w:spacing w:before="60" w:after="60"/>
              <w:rPr>
                <w:b/>
              </w:rPr>
            </w:pPr>
            <w:r>
              <w:rPr>
                <w:b/>
              </w:rPr>
              <w:t>A</w:t>
            </w:r>
            <w:r w:rsidRPr="006C7E37">
              <w:rPr>
                <w:b/>
              </w:rPr>
              <w:t>dmissions</w:t>
            </w:r>
          </w:p>
        </w:tc>
      </w:tr>
      <w:tr w:rsidR="00CF1D53" w:rsidRPr="006C7E37" w:rsidTr="00F61600">
        <w:trPr>
          <w:cantSplit/>
        </w:trPr>
        <w:tc>
          <w:tcPr>
            <w:tcW w:w="4858" w:type="dxa"/>
            <w:shd w:val="clear" w:color="auto" w:fill="auto"/>
          </w:tcPr>
          <w:p w:rsidR="00CF1D53" w:rsidRPr="006C7E37" w:rsidRDefault="00CF1D53" w:rsidP="00AF4B9E">
            <w:pPr>
              <w:pStyle w:val="BodyTextIndent"/>
              <w:spacing w:before="60" w:after="60"/>
              <w:ind w:left="0" w:firstLine="27"/>
              <w:rPr>
                <w:rFonts w:ascii="Arial" w:hAnsi="Arial" w:cs="Arial"/>
                <w:sz w:val="24"/>
              </w:rPr>
            </w:pPr>
            <w:r w:rsidRPr="006C7E37">
              <w:rPr>
                <w:rFonts w:ascii="Arial" w:hAnsi="Arial" w:cs="Arial"/>
                <w:b/>
                <w:sz w:val="24"/>
              </w:rPr>
              <w:t>A.1</w:t>
            </w:r>
            <w:r w:rsidRPr="006C7E37">
              <w:rPr>
                <w:rFonts w:ascii="Arial" w:hAnsi="Arial" w:cs="Arial"/>
                <w:sz w:val="24"/>
              </w:rPr>
              <w:t xml:space="preserve"> </w:t>
            </w:r>
            <w:r w:rsidR="00AF4B9E" w:rsidRPr="00AF4B9E">
              <w:rPr>
                <w:rFonts w:ascii="Arial" w:hAnsi="Arial" w:cs="Arial"/>
                <w:sz w:val="24"/>
              </w:rPr>
              <w:t>The admissions process must give both the applicant and the education</w:t>
            </w:r>
            <w:r w:rsidR="00AF4B9E">
              <w:rPr>
                <w:rFonts w:ascii="Arial" w:hAnsi="Arial" w:cs="Arial"/>
                <w:sz w:val="24"/>
              </w:rPr>
              <w:t xml:space="preserve"> </w:t>
            </w:r>
            <w:r w:rsidR="00AF4B9E" w:rsidRPr="00AF4B9E">
              <w:rPr>
                <w:rFonts w:ascii="Arial" w:hAnsi="Arial" w:cs="Arial"/>
                <w:sz w:val="24"/>
              </w:rPr>
              <w:t>provider the information they require to make an informed choice about</w:t>
            </w:r>
            <w:r w:rsidR="00AF4B9E">
              <w:rPr>
                <w:rFonts w:ascii="Arial" w:hAnsi="Arial" w:cs="Arial"/>
                <w:sz w:val="24"/>
              </w:rPr>
              <w:t xml:space="preserve"> </w:t>
            </w:r>
            <w:r w:rsidR="00AF4B9E" w:rsidRPr="00AF4B9E">
              <w:rPr>
                <w:rFonts w:ascii="Arial" w:hAnsi="Arial" w:cs="Arial"/>
                <w:sz w:val="24"/>
              </w:rPr>
              <w:t>whether to take up or make an offer of a place on a programme</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spacing w:before="60" w:after="60"/>
              <w:ind w:left="0" w:firstLine="27"/>
              <w:rPr>
                <w:rFonts w:ascii="Arial" w:hAnsi="Arial" w:cs="Arial"/>
                <w:sz w:val="24"/>
              </w:rPr>
            </w:pPr>
            <w:r w:rsidRPr="006C7E37">
              <w:rPr>
                <w:rFonts w:ascii="Arial" w:hAnsi="Arial" w:cs="Arial"/>
                <w:b/>
                <w:sz w:val="24"/>
              </w:rPr>
              <w:t>A.2</w:t>
            </w:r>
            <w:r w:rsidRPr="006C7E37">
              <w:rPr>
                <w:rFonts w:ascii="Arial" w:hAnsi="Arial" w:cs="Arial"/>
                <w:sz w:val="24"/>
              </w:rPr>
              <w:t xml:space="preserve"> </w:t>
            </w:r>
            <w:r w:rsidR="00AF4B9E" w:rsidRPr="00AF4B9E">
              <w:rPr>
                <w:rFonts w:ascii="Arial" w:hAnsi="Arial" w:cs="Arial"/>
                <w:sz w:val="24"/>
              </w:rPr>
              <w:t>The selection and entry criteria must include appropriate academic and</w:t>
            </w:r>
            <w:r w:rsidR="00AF4B9E">
              <w:rPr>
                <w:rFonts w:ascii="Arial" w:hAnsi="Arial" w:cs="Arial"/>
                <w:sz w:val="24"/>
              </w:rPr>
              <w:t xml:space="preserve"> </w:t>
            </w:r>
            <w:r w:rsidR="00AF4B9E" w:rsidRPr="00AF4B9E">
              <w:rPr>
                <w:rFonts w:ascii="Arial" w:hAnsi="Arial" w:cs="Arial"/>
                <w:sz w:val="24"/>
              </w:rPr>
              <w:t>professional entry standards</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spacing w:before="60" w:after="60"/>
              <w:ind w:left="0" w:firstLine="27"/>
              <w:rPr>
                <w:rFonts w:ascii="Arial" w:hAnsi="Arial" w:cs="Arial"/>
                <w:sz w:val="24"/>
              </w:rPr>
            </w:pPr>
            <w:r w:rsidRPr="006C7E37">
              <w:rPr>
                <w:rFonts w:ascii="Arial" w:hAnsi="Arial" w:cs="Arial"/>
                <w:b/>
                <w:sz w:val="24"/>
              </w:rPr>
              <w:t>A.3</w:t>
            </w:r>
            <w:r w:rsidRPr="006C7E37">
              <w:rPr>
                <w:rFonts w:ascii="Arial" w:hAnsi="Arial" w:cs="Arial"/>
                <w:sz w:val="24"/>
              </w:rPr>
              <w:t xml:space="preserve"> </w:t>
            </w:r>
            <w:r w:rsidR="00AF4B9E" w:rsidRPr="00AF4B9E">
              <w:rPr>
                <w:rFonts w:ascii="Arial" w:hAnsi="Arial" w:cs="Arial"/>
                <w:sz w:val="24"/>
              </w:rPr>
              <w:t>There must be an appropriate and effective process for assessing applicants’</w:t>
            </w:r>
            <w:r w:rsidR="00AF4B9E">
              <w:rPr>
                <w:rFonts w:ascii="Arial" w:hAnsi="Arial" w:cs="Arial"/>
                <w:sz w:val="24"/>
              </w:rPr>
              <w:t xml:space="preserve"> </w:t>
            </w:r>
            <w:r w:rsidR="00AF4B9E" w:rsidRPr="00AF4B9E">
              <w:rPr>
                <w:rFonts w:ascii="Arial" w:hAnsi="Arial" w:cs="Arial"/>
                <w:sz w:val="24"/>
              </w:rPr>
              <w:t>prior learning and experience</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spacing w:before="60" w:after="60"/>
              <w:ind w:left="0" w:firstLine="27"/>
              <w:rPr>
                <w:rFonts w:ascii="Arial" w:hAnsi="Arial" w:cs="Arial"/>
                <w:sz w:val="24"/>
              </w:rPr>
            </w:pPr>
            <w:r w:rsidRPr="006C7E37">
              <w:rPr>
                <w:rFonts w:ascii="Arial" w:hAnsi="Arial" w:cs="Arial"/>
                <w:b/>
                <w:sz w:val="24"/>
              </w:rPr>
              <w:t>A.4</w:t>
            </w:r>
            <w:r w:rsidRPr="006C7E37">
              <w:rPr>
                <w:rFonts w:ascii="Arial" w:hAnsi="Arial" w:cs="Arial"/>
                <w:sz w:val="24"/>
              </w:rPr>
              <w:t xml:space="preserve"> </w:t>
            </w:r>
            <w:r w:rsidR="00AF4B9E" w:rsidRPr="00AF4B9E">
              <w:rPr>
                <w:rFonts w:ascii="Arial" w:hAnsi="Arial" w:cs="Arial"/>
                <w:sz w:val="24"/>
              </w:rPr>
              <w:t>The education provider must ensure that there are equality and diversity</w:t>
            </w:r>
            <w:r w:rsidR="00AF4B9E">
              <w:rPr>
                <w:rFonts w:ascii="Arial" w:hAnsi="Arial" w:cs="Arial"/>
                <w:sz w:val="24"/>
              </w:rPr>
              <w:t xml:space="preserve"> </w:t>
            </w:r>
            <w:r w:rsidR="00AF4B9E" w:rsidRPr="00AF4B9E">
              <w:rPr>
                <w:rFonts w:ascii="Arial" w:hAnsi="Arial" w:cs="Arial"/>
                <w:sz w:val="24"/>
              </w:rPr>
              <w:t>policies in relation to applicants and that they are implemented and monitored</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AF4B9E" w:rsidRPr="006C7E37" w:rsidTr="00F61600">
        <w:trPr>
          <w:cantSplit/>
        </w:trPr>
        <w:tc>
          <w:tcPr>
            <w:tcW w:w="14562" w:type="dxa"/>
            <w:gridSpan w:val="3"/>
            <w:shd w:val="clear" w:color="auto" w:fill="BFBFBF"/>
          </w:tcPr>
          <w:p w:rsidR="00AF4B9E" w:rsidRPr="006C7E37" w:rsidRDefault="00AF4B9E" w:rsidP="006C7E37">
            <w:pPr>
              <w:spacing w:before="60" w:after="60"/>
              <w:rPr>
                <w:b/>
              </w:rPr>
            </w:pPr>
            <w:r w:rsidRPr="00AF4B9E">
              <w:rPr>
                <w:b/>
              </w:rPr>
              <w:t>Programme governance, management and leadership</w:t>
            </w:r>
          </w:p>
        </w:tc>
      </w:tr>
      <w:tr w:rsidR="00CF1D53" w:rsidRPr="006C7E37" w:rsidTr="00F61600">
        <w:trPr>
          <w:cantSplit/>
        </w:trPr>
        <w:tc>
          <w:tcPr>
            <w:tcW w:w="4858" w:type="dxa"/>
            <w:shd w:val="clear" w:color="auto" w:fill="auto"/>
          </w:tcPr>
          <w:p w:rsidR="00CF1D53" w:rsidRPr="006C7E37" w:rsidRDefault="00CF1D53" w:rsidP="00AF4B9E">
            <w:pPr>
              <w:tabs>
                <w:tab w:val="left" w:pos="1276"/>
              </w:tabs>
              <w:spacing w:before="60" w:after="60"/>
            </w:pPr>
            <w:r w:rsidRPr="006C7E37">
              <w:rPr>
                <w:b/>
              </w:rPr>
              <w:t>B.1</w:t>
            </w:r>
            <w:r w:rsidRPr="006C7E37">
              <w:t xml:space="preserve"> </w:t>
            </w:r>
            <w:r w:rsidR="00AF4B9E" w:rsidRPr="00AF4B9E">
              <w:t>The programme must be sustainable and fit for purpose</w:t>
            </w:r>
            <w:r w:rsidRPr="006C7E37">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tabs>
                <w:tab w:val="left" w:pos="1276"/>
              </w:tabs>
              <w:spacing w:before="60" w:after="60"/>
              <w:ind w:left="0" w:firstLine="0"/>
              <w:rPr>
                <w:rFonts w:ascii="Arial" w:hAnsi="Arial" w:cs="Arial"/>
                <w:sz w:val="24"/>
              </w:rPr>
            </w:pPr>
            <w:r w:rsidRPr="006C7E37">
              <w:rPr>
                <w:rFonts w:ascii="Arial" w:hAnsi="Arial" w:cs="Arial"/>
                <w:b/>
                <w:sz w:val="24"/>
              </w:rPr>
              <w:t>B.2</w:t>
            </w:r>
            <w:r w:rsidRPr="006C7E37">
              <w:rPr>
                <w:rFonts w:ascii="Arial" w:hAnsi="Arial" w:cs="Arial"/>
                <w:sz w:val="24"/>
              </w:rPr>
              <w:t xml:space="preserve"> The programme must be effectively managed.</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tabs>
                <w:tab w:val="left" w:pos="1276"/>
              </w:tabs>
              <w:spacing w:before="60" w:after="60"/>
              <w:ind w:left="0" w:firstLine="0"/>
              <w:rPr>
                <w:rFonts w:ascii="Arial" w:hAnsi="Arial" w:cs="Arial"/>
                <w:sz w:val="24"/>
              </w:rPr>
            </w:pPr>
            <w:r w:rsidRPr="006C7E37">
              <w:rPr>
                <w:rFonts w:ascii="Arial" w:hAnsi="Arial" w:cs="Arial"/>
                <w:b/>
                <w:sz w:val="24"/>
              </w:rPr>
              <w:t>B.3</w:t>
            </w:r>
            <w:r w:rsidRPr="006C7E37">
              <w:rPr>
                <w:rFonts w:ascii="Arial" w:hAnsi="Arial" w:cs="Arial"/>
                <w:sz w:val="24"/>
              </w:rPr>
              <w:t xml:space="preserve"> </w:t>
            </w:r>
            <w:r w:rsidR="00AF4B9E" w:rsidRPr="00AF4B9E">
              <w:rPr>
                <w:rFonts w:ascii="Arial" w:hAnsi="Arial" w:cs="Arial"/>
                <w:sz w:val="24"/>
              </w:rPr>
              <w:t>The education provider must ensure that the person holding overall</w:t>
            </w:r>
            <w:r w:rsidR="00AF4B9E">
              <w:rPr>
                <w:rFonts w:ascii="Arial" w:hAnsi="Arial" w:cs="Arial"/>
                <w:sz w:val="24"/>
              </w:rPr>
              <w:t xml:space="preserve"> </w:t>
            </w:r>
            <w:r w:rsidR="00AF4B9E" w:rsidRPr="00AF4B9E">
              <w:rPr>
                <w:rFonts w:ascii="Arial" w:hAnsi="Arial" w:cs="Arial"/>
                <w:sz w:val="24"/>
              </w:rPr>
              <w:t>professional responsibility for the programme is appropriately qualified and</w:t>
            </w:r>
            <w:r w:rsidR="00AF4B9E">
              <w:rPr>
                <w:rFonts w:ascii="Arial" w:hAnsi="Arial" w:cs="Arial"/>
                <w:sz w:val="24"/>
              </w:rPr>
              <w:t xml:space="preserve"> </w:t>
            </w:r>
            <w:r w:rsidR="00AF4B9E" w:rsidRPr="00AF4B9E">
              <w:rPr>
                <w:rFonts w:ascii="Arial" w:hAnsi="Arial" w:cs="Arial"/>
                <w:sz w:val="24"/>
              </w:rPr>
              <w:t>experienced and, unless other arrangements are appropriate, on the register</w:t>
            </w:r>
            <w:r w:rsidR="00AF4B9E">
              <w:rPr>
                <w:rFonts w:ascii="Arial" w:hAnsi="Arial" w:cs="Arial"/>
                <w:sz w:val="24"/>
              </w:rPr>
              <w:t xml:space="preserve"> </w:t>
            </w:r>
            <w:r w:rsidR="00AF4B9E" w:rsidRPr="00AF4B9E">
              <w:rPr>
                <w:rFonts w:ascii="Arial" w:hAnsi="Arial" w:cs="Arial"/>
                <w:sz w:val="24"/>
              </w:rPr>
              <w:t>of their statutory regulator</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tabs>
                <w:tab w:val="left" w:pos="1276"/>
              </w:tabs>
              <w:spacing w:before="60" w:after="60"/>
              <w:ind w:left="0" w:firstLine="0"/>
              <w:rPr>
                <w:rFonts w:ascii="Arial" w:hAnsi="Arial" w:cs="Arial"/>
                <w:sz w:val="24"/>
              </w:rPr>
            </w:pPr>
            <w:r w:rsidRPr="006C7E37">
              <w:rPr>
                <w:rFonts w:ascii="Arial" w:hAnsi="Arial" w:cs="Arial"/>
                <w:b/>
                <w:sz w:val="24"/>
              </w:rPr>
              <w:t>B.4</w:t>
            </w:r>
            <w:r w:rsidRPr="006C7E37">
              <w:rPr>
                <w:rFonts w:ascii="Arial" w:hAnsi="Arial" w:cs="Arial"/>
                <w:sz w:val="24"/>
              </w:rPr>
              <w:t xml:space="preserve"> </w:t>
            </w:r>
            <w:r w:rsidR="00AF4B9E" w:rsidRPr="00AF4B9E">
              <w:rPr>
                <w:rFonts w:ascii="Arial" w:hAnsi="Arial" w:cs="Arial"/>
                <w:sz w:val="24"/>
              </w:rPr>
              <w:t>The programme must have regular and effective monitoring and evaluation</w:t>
            </w:r>
            <w:r w:rsidR="00AF4B9E">
              <w:rPr>
                <w:rFonts w:ascii="Arial" w:hAnsi="Arial" w:cs="Arial"/>
                <w:sz w:val="24"/>
              </w:rPr>
              <w:t xml:space="preserve"> </w:t>
            </w:r>
            <w:r w:rsidR="00AF4B9E" w:rsidRPr="00AF4B9E">
              <w:rPr>
                <w:rFonts w:ascii="Arial" w:hAnsi="Arial" w:cs="Arial"/>
                <w:sz w:val="24"/>
              </w:rPr>
              <w:t>systems in place</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tabs>
                <w:tab w:val="left" w:pos="1276"/>
              </w:tabs>
              <w:spacing w:before="60" w:after="60"/>
            </w:pPr>
            <w:r w:rsidRPr="006C7E37">
              <w:rPr>
                <w:b/>
              </w:rPr>
              <w:t>B.5</w:t>
            </w:r>
            <w:r w:rsidRPr="006C7E37">
              <w:t xml:space="preserve"> </w:t>
            </w:r>
            <w:r w:rsidR="00AF4B9E">
              <w:t>There must be regular and effective collaboration between the education provider and practice education providers</w:t>
            </w:r>
            <w:r w:rsidRPr="006C7E37">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tabs>
                <w:tab w:val="left" w:pos="1276"/>
              </w:tabs>
              <w:spacing w:before="60" w:after="60"/>
              <w:ind w:left="0" w:firstLine="0"/>
              <w:rPr>
                <w:rFonts w:ascii="Arial" w:hAnsi="Arial" w:cs="Arial"/>
                <w:sz w:val="24"/>
              </w:rPr>
            </w:pPr>
            <w:r w:rsidRPr="006C7E37">
              <w:rPr>
                <w:rFonts w:ascii="Arial" w:hAnsi="Arial" w:cs="Arial"/>
                <w:b/>
                <w:sz w:val="24"/>
              </w:rPr>
              <w:t>B.6</w:t>
            </w:r>
            <w:r w:rsidRPr="006C7E37">
              <w:rPr>
                <w:rFonts w:ascii="Arial" w:hAnsi="Arial" w:cs="Arial"/>
                <w:sz w:val="24"/>
              </w:rPr>
              <w:t xml:space="preserve"> </w:t>
            </w:r>
            <w:r w:rsidR="00AF4B9E" w:rsidRPr="00AF4B9E">
              <w:rPr>
                <w:rFonts w:ascii="Arial" w:hAnsi="Arial" w:cs="Arial"/>
                <w:sz w:val="24"/>
              </w:rPr>
              <w:t>There must be an effective process in place to ensure the availability and</w:t>
            </w:r>
            <w:r w:rsidR="00AF4B9E">
              <w:rPr>
                <w:rFonts w:ascii="Arial" w:hAnsi="Arial" w:cs="Arial"/>
                <w:sz w:val="24"/>
              </w:rPr>
              <w:t xml:space="preserve"> </w:t>
            </w:r>
            <w:r w:rsidR="00AF4B9E" w:rsidRPr="00AF4B9E">
              <w:rPr>
                <w:rFonts w:ascii="Arial" w:hAnsi="Arial" w:cs="Arial"/>
                <w:sz w:val="24"/>
              </w:rPr>
              <w:t>capacity of practice-based learning for all learners</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tabs>
                <w:tab w:val="left" w:pos="1276"/>
              </w:tabs>
              <w:spacing w:before="60" w:after="60"/>
            </w:pPr>
            <w:r w:rsidRPr="006C7E37">
              <w:rPr>
                <w:b/>
              </w:rPr>
              <w:t>B.7</w:t>
            </w:r>
            <w:r w:rsidRPr="006C7E37">
              <w:t xml:space="preserve"> </w:t>
            </w:r>
            <w:r w:rsidR="00AF4B9E" w:rsidRPr="00AF4B9E">
              <w:t>Service users and carers must be involved in the programme</w:t>
            </w:r>
            <w:r w:rsidRPr="006C7E37">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tabs>
                <w:tab w:val="left" w:pos="1276"/>
              </w:tabs>
              <w:spacing w:before="60" w:after="60"/>
            </w:pPr>
            <w:r w:rsidRPr="006C7E37">
              <w:rPr>
                <w:b/>
              </w:rPr>
              <w:t>B.8</w:t>
            </w:r>
            <w:r w:rsidRPr="006C7E37">
              <w:t xml:space="preserve"> </w:t>
            </w:r>
            <w:r w:rsidR="00AF4B9E" w:rsidRPr="00AF4B9E">
              <w:t>Learners must be involved in the programme</w:t>
            </w:r>
            <w:r w:rsidRPr="006C7E37">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tabs>
                <w:tab w:val="left" w:pos="1276"/>
              </w:tabs>
              <w:spacing w:before="60" w:after="60"/>
              <w:ind w:left="0" w:firstLine="0"/>
              <w:rPr>
                <w:rFonts w:ascii="Arial" w:hAnsi="Arial" w:cs="Arial"/>
                <w:sz w:val="24"/>
              </w:rPr>
            </w:pPr>
            <w:r w:rsidRPr="006C7E37">
              <w:rPr>
                <w:rFonts w:ascii="Arial" w:hAnsi="Arial" w:cs="Arial"/>
                <w:b/>
                <w:sz w:val="24"/>
              </w:rPr>
              <w:t>B.9</w:t>
            </w:r>
            <w:r w:rsidRPr="006C7E37">
              <w:rPr>
                <w:rFonts w:ascii="Arial" w:hAnsi="Arial" w:cs="Arial"/>
                <w:sz w:val="24"/>
              </w:rPr>
              <w:t xml:space="preserve"> </w:t>
            </w:r>
            <w:r w:rsidR="00AF4B9E" w:rsidRPr="00AF4B9E">
              <w:rPr>
                <w:rFonts w:ascii="Arial" w:hAnsi="Arial" w:cs="Arial"/>
                <w:sz w:val="24"/>
              </w:rPr>
              <w:t>There must be an adequate number of appropriately qualified and</w:t>
            </w:r>
            <w:r w:rsidR="00AF4B9E">
              <w:rPr>
                <w:rFonts w:ascii="Arial" w:hAnsi="Arial" w:cs="Arial"/>
                <w:sz w:val="24"/>
              </w:rPr>
              <w:t xml:space="preserve"> </w:t>
            </w:r>
            <w:r w:rsidR="00AF4B9E" w:rsidRPr="00AF4B9E">
              <w:rPr>
                <w:rFonts w:ascii="Arial" w:hAnsi="Arial" w:cs="Arial"/>
                <w:sz w:val="24"/>
              </w:rPr>
              <w:t>experienced and, where appropriate, registered staff in place to deliver an</w:t>
            </w:r>
            <w:r w:rsidR="00AF4B9E">
              <w:rPr>
                <w:rFonts w:ascii="Arial" w:hAnsi="Arial" w:cs="Arial"/>
                <w:sz w:val="24"/>
              </w:rPr>
              <w:t xml:space="preserve"> </w:t>
            </w:r>
            <w:r w:rsidR="00AF4B9E" w:rsidRPr="00AF4B9E">
              <w:rPr>
                <w:rFonts w:ascii="Arial" w:hAnsi="Arial" w:cs="Arial"/>
                <w:sz w:val="24"/>
              </w:rPr>
              <w:t>effective programme</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tabs>
                <w:tab w:val="left" w:pos="1276"/>
              </w:tabs>
              <w:spacing w:before="60" w:after="60"/>
              <w:ind w:left="0" w:firstLine="0"/>
              <w:rPr>
                <w:rFonts w:ascii="Arial" w:hAnsi="Arial" w:cs="Arial"/>
                <w:sz w:val="24"/>
              </w:rPr>
            </w:pPr>
            <w:r w:rsidRPr="006C7E37">
              <w:rPr>
                <w:rFonts w:ascii="Arial" w:hAnsi="Arial" w:cs="Arial"/>
                <w:b/>
                <w:sz w:val="24"/>
              </w:rPr>
              <w:t>B.10</w:t>
            </w:r>
            <w:r w:rsidR="00AF4B9E">
              <w:rPr>
                <w:rFonts w:ascii="Arial" w:hAnsi="Arial" w:cs="Arial"/>
                <w:sz w:val="24"/>
              </w:rPr>
              <w:t xml:space="preserve"> </w:t>
            </w:r>
            <w:r w:rsidR="00AF4B9E" w:rsidRPr="00AF4B9E">
              <w:rPr>
                <w:rFonts w:ascii="Arial" w:hAnsi="Arial" w:cs="Arial"/>
                <w:sz w:val="24"/>
              </w:rPr>
              <w:t>Subject areas must be delivered by educators with relevant specialist</w:t>
            </w:r>
            <w:r w:rsidR="00AF4B9E">
              <w:rPr>
                <w:rFonts w:ascii="Arial" w:hAnsi="Arial" w:cs="Arial"/>
                <w:sz w:val="24"/>
              </w:rPr>
              <w:t xml:space="preserve"> </w:t>
            </w:r>
            <w:r w:rsidR="00AF4B9E" w:rsidRPr="00AF4B9E">
              <w:rPr>
                <w:rFonts w:ascii="Arial" w:hAnsi="Arial" w:cs="Arial"/>
                <w:sz w:val="24"/>
              </w:rPr>
              <w:t>expertise and knowledge</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tabs>
                <w:tab w:val="left" w:pos="1276"/>
              </w:tabs>
              <w:autoSpaceDE w:val="0"/>
              <w:autoSpaceDN w:val="0"/>
              <w:adjustRightInd w:val="0"/>
            </w:pPr>
            <w:r w:rsidRPr="006C7E37">
              <w:rPr>
                <w:b/>
              </w:rPr>
              <w:t>B.11</w:t>
            </w:r>
            <w:r w:rsidRPr="006C7E37">
              <w:t xml:space="preserve"> </w:t>
            </w:r>
            <w:r w:rsidR="00AF4B9E" w:rsidRPr="00486829">
              <w:t>An effective programme must be in place to ensure the continuing</w:t>
            </w:r>
            <w:r w:rsidR="00AF4B9E">
              <w:t xml:space="preserve"> </w:t>
            </w:r>
            <w:r w:rsidR="00AF4B9E" w:rsidRPr="00486829">
              <w:t>professional and academic development of educators, appropriate to their role</w:t>
            </w:r>
            <w:r w:rsidR="00AF4B9E">
              <w:t xml:space="preserve"> </w:t>
            </w:r>
            <w:r w:rsidR="00AF4B9E" w:rsidRPr="00486829">
              <w:t>in the programme</w:t>
            </w:r>
            <w:r w:rsidRPr="006C7E37">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tabs>
                <w:tab w:val="left" w:pos="1276"/>
              </w:tabs>
              <w:spacing w:before="60" w:after="60"/>
              <w:ind w:left="0" w:firstLine="0"/>
              <w:rPr>
                <w:rFonts w:ascii="Arial" w:hAnsi="Arial" w:cs="Arial"/>
                <w:sz w:val="24"/>
              </w:rPr>
            </w:pPr>
            <w:r w:rsidRPr="006C7E37">
              <w:rPr>
                <w:rFonts w:ascii="Arial" w:hAnsi="Arial" w:cs="Arial"/>
                <w:b/>
                <w:sz w:val="24"/>
              </w:rPr>
              <w:t>B.12</w:t>
            </w:r>
            <w:r w:rsidR="00AF4B9E">
              <w:rPr>
                <w:rFonts w:ascii="Arial" w:hAnsi="Arial" w:cs="Arial"/>
                <w:sz w:val="24"/>
              </w:rPr>
              <w:t xml:space="preserve"> </w:t>
            </w:r>
            <w:r w:rsidR="00AF4B9E" w:rsidRPr="00AF4B9E">
              <w:rPr>
                <w:rFonts w:ascii="Arial" w:hAnsi="Arial" w:cs="Arial"/>
                <w:sz w:val="24"/>
              </w:rPr>
              <w:t>The resources to support learning in all settings must be effective and</w:t>
            </w:r>
            <w:r w:rsidR="00AF4B9E">
              <w:rPr>
                <w:rFonts w:ascii="Arial" w:hAnsi="Arial" w:cs="Arial"/>
                <w:sz w:val="24"/>
              </w:rPr>
              <w:t xml:space="preserve"> </w:t>
            </w:r>
            <w:r w:rsidR="00AF4B9E" w:rsidRPr="00AF4B9E">
              <w:rPr>
                <w:rFonts w:ascii="Arial" w:hAnsi="Arial" w:cs="Arial"/>
                <w:sz w:val="24"/>
              </w:rPr>
              <w:t>app</w:t>
            </w:r>
            <w:r w:rsidR="00AF4B9E">
              <w:rPr>
                <w:rFonts w:ascii="Arial" w:hAnsi="Arial" w:cs="Arial"/>
                <w:sz w:val="24"/>
              </w:rPr>
              <w:t xml:space="preserve">ropriate to the delivery of the </w:t>
            </w:r>
            <w:r w:rsidR="00AF4B9E" w:rsidRPr="00AF4B9E">
              <w:rPr>
                <w:rFonts w:ascii="Arial" w:hAnsi="Arial" w:cs="Arial"/>
                <w:sz w:val="24"/>
              </w:rPr>
              <w:t>programme, and must be accessible to all</w:t>
            </w:r>
            <w:r w:rsidR="00AF4B9E">
              <w:rPr>
                <w:rFonts w:ascii="Arial" w:hAnsi="Arial" w:cs="Arial"/>
                <w:sz w:val="24"/>
              </w:rPr>
              <w:t xml:space="preserve"> </w:t>
            </w:r>
            <w:r w:rsidR="00AF4B9E" w:rsidRPr="00AF4B9E">
              <w:rPr>
                <w:rFonts w:ascii="Arial" w:hAnsi="Arial" w:cs="Arial"/>
                <w:sz w:val="24"/>
              </w:rPr>
              <w:t>learners and educators</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tabs>
                <w:tab w:val="left" w:pos="1276"/>
              </w:tabs>
              <w:spacing w:before="60" w:after="60"/>
              <w:ind w:left="0" w:firstLine="0"/>
              <w:rPr>
                <w:rFonts w:ascii="Arial" w:hAnsi="Arial" w:cs="Arial"/>
                <w:sz w:val="24"/>
              </w:rPr>
            </w:pPr>
            <w:r w:rsidRPr="006C7E37">
              <w:rPr>
                <w:rFonts w:ascii="Arial" w:hAnsi="Arial" w:cs="Arial"/>
                <w:b/>
                <w:sz w:val="24"/>
              </w:rPr>
              <w:t>B.13</w:t>
            </w:r>
            <w:r w:rsidR="00AF4B9E">
              <w:rPr>
                <w:rFonts w:ascii="Arial" w:hAnsi="Arial" w:cs="Arial"/>
                <w:sz w:val="24"/>
              </w:rPr>
              <w:t xml:space="preserve"> </w:t>
            </w:r>
            <w:r w:rsidR="00AF4B9E" w:rsidRPr="00AF4B9E">
              <w:rPr>
                <w:rFonts w:ascii="Arial" w:hAnsi="Arial" w:cs="Arial"/>
                <w:sz w:val="24"/>
              </w:rPr>
              <w:t>There must be effective and accessible arrangements in place to support the</w:t>
            </w:r>
            <w:r w:rsidR="00AF4B9E">
              <w:rPr>
                <w:rFonts w:ascii="Arial" w:hAnsi="Arial" w:cs="Arial"/>
                <w:sz w:val="24"/>
              </w:rPr>
              <w:t xml:space="preserve"> </w:t>
            </w:r>
            <w:r w:rsidR="00AF4B9E" w:rsidRPr="00AF4B9E">
              <w:rPr>
                <w:rFonts w:ascii="Arial" w:hAnsi="Arial" w:cs="Arial"/>
                <w:sz w:val="24"/>
              </w:rPr>
              <w:t>wellbeing and learning needs of learners in all settings</w:t>
            </w:r>
            <w:r w:rsidR="00AF4B9E">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tabs>
                <w:tab w:val="left" w:pos="1276"/>
              </w:tabs>
              <w:spacing w:before="60" w:after="60"/>
              <w:ind w:left="0" w:firstLine="0"/>
              <w:rPr>
                <w:rFonts w:ascii="Arial" w:hAnsi="Arial" w:cs="Arial"/>
                <w:sz w:val="24"/>
              </w:rPr>
            </w:pPr>
            <w:r w:rsidRPr="006C7E37">
              <w:rPr>
                <w:rFonts w:ascii="Arial" w:hAnsi="Arial" w:cs="Arial"/>
                <w:b/>
                <w:sz w:val="24"/>
              </w:rPr>
              <w:t>B.14</w:t>
            </w:r>
            <w:r w:rsidRPr="006C7E37">
              <w:rPr>
                <w:rFonts w:ascii="Arial" w:hAnsi="Arial" w:cs="Arial"/>
                <w:sz w:val="24"/>
              </w:rPr>
              <w:t xml:space="preserve"> </w:t>
            </w:r>
            <w:r w:rsidR="00AF4B9E" w:rsidRPr="00AF4B9E">
              <w:rPr>
                <w:rFonts w:ascii="Arial" w:hAnsi="Arial" w:cs="Arial"/>
                <w:sz w:val="24"/>
              </w:rPr>
              <w:t>The programme must implement and monitor equality and diversity policies in</w:t>
            </w:r>
            <w:r w:rsidR="00AF4B9E">
              <w:rPr>
                <w:rFonts w:ascii="Arial" w:hAnsi="Arial" w:cs="Arial"/>
                <w:sz w:val="24"/>
              </w:rPr>
              <w:t xml:space="preserve"> </w:t>
            </w:r>
            <w:r w:rsidR="00AF4B9E" w:rsidRPr="00AF4B9E">
              <w:rPr>
                <w:rFonts w:ascii="Arial" w:hAnsi="Arial" w:cs="Arial"/>
                <w:sz w:val="24"/>
              </w:rPr>
              <w:t>relation to learners</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AF4B9E">
            <w:pPr>
              <w:pStyle w:val="BodyTextIndent"/>
              <w:tabs>
                <w:tab w:val="left" w:pos="1276"/>
              </w:tabs>
              <w:spacing w:before="60" w:after="60"/>
              <w:ind w:left="0" w:firstLine="0"/>
              <w:rPr>
                <w:rFonts w:ascii="Arial" w:hAnsi="Arial" w:cs="Arial"/>
                <w:b/>
                <w:sz w:val="24"/>
              </w:rPr>
            </w:pPr>
            <w:r>
              <w:rPr>
                <w:rFonts w:ascii="Arial" w:hAnsi="Arial" w:cs="Arial"/>
                <w:b/>
                <w:sz w:val="24"/>
              </w:rPr>
              <w:t>B.15</w:t>
            </w:r>
            <w:r w:rsidRPr="006C7E37">
              <w:rPr>
                <w:rFonts w:ascii="Arial" w:hAnsi="Arial" w:cs="Arial"/>
                <w:sz w:val="24"/>
              </w:rPr>
              <w:t xml:space="preserve"> </w:t>
            </w:r>
            <w:r w:rsidR="00AF4B9E" w:rsidRPr="00AF4B9E">
              <w:rPr>
                <w:rFonts w:ascii="Arial" w:hAnsi="Arial" w:cs="Arial"/>
                <w:sz w:val="24"/>
              </w:rPr>
              <w:t>There must be a thorough and effective system in place for receiving and</w:t>
            </w:r>
            <w:r w:rsidR="00AF4B9E">
              <w:rPr>
                <w:rFonts w:ascii="Arial" w:hAnsi="Arial" w:cs="Arial"/>
                <w:sz w:val="24"/>
              </w:rPr>
              <w:t xml:space="preserve"> </w:t>
            </w:r>
            <w:r w:rsidR="00AF4B9E" w:rsidRPr="00AF4B9E">
              <w:rPr>
                <w:rFonts w:ascii="Arial" w:hAnsi="Arial" w:cs="Arial"/>
                <w:sz w:val="24"/>
              </w:rPr>
              <w:t>responding to learner complaints</w:t>
            </w:r>
            <w:r w:rsidRPr="00D04ADE">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AF4B9E" w:rsidRPr="006C7E37" w:rsidTr="00F61600">
        <w:trPr>
          <w:cantSplit/>
        </w:trPr>
        <w:tc>
          <w:tcPr>
            <w:tcW w:w="4858" w:type="dxa"/>
            <w:shd w:val="clear" w:color="auto" w:fill="auto"/>
          </w:tcPr>
          <w:p w:rsidR="00AF4B9E" w:rsidRDefault="00AF4B9E" w:rsidP="00AF4B9E">
            <w:pPr>
              <w:tabs>
                <w:tab w:val="left" w:pos="1276"/>
              </w:tabs>
              <w:autoSpaceDE w:val="0"/>
              <w:autoSpaceDN w:val="0"/>
              <w:adjustRightInd w:val="0"/>
              <w:rPr>
                <w:b/>
              </w:rPr>
            </w:pPr>
            <w:r w:rsidRPr="00AF4B9E">
              <w:rPr>
                <w:b/>
              </w:rPr>
              <w:t>B.16</w:t>
            </w:r>
            <w:r w:rsidRPr="00486829">
              <w:t xml:space="preserve"> There must be thorough and effective systems in place for ensuring the</w:t>
            </w:r>
            <w:r>
              <w:t xml:space="preserve"> </w:t>
            </w:r>
            <w:r w:rsidRPr="00486829">
              <w:t>ongoing suitability of learners’ conduct, character and health</w:t>
            </w:r>
            <w:r>
              <w:t>.</w:t>
            </w:r>
          </w:p>
        </w:tc>
        <w:tc>
          <w:tcPr>
            <w:tcW w:w="4848" w:type="dxa"/>
          </w:tcPr>
          <w:p w:rsidR="00AF4B9E" w:rsidRPr="006C7E37" w:rsidRDefault="00AF4B9E" w:rsidP="006C7E37">
            <w:pPr>
              <w:spacing w:before="60" w:after="60"/>
            </w:pPr>
          </w:p>
        </w:tc>
        <w:tc>
          <w:tcPr>
            <w:tcW w:w="4856" w:type="dxa"/>
            <w:shd w:val="clear" w:color="auto" w:fill="auto"/>
          </w:tcPr>
          <w:p w:rsidR="00AF4B9E" w:rsidRPr="006C7E37" w:rsidRDefault="00AF4B9E" w:rsidP="006C7E37">
            <w:pPr>
              <w:spacing w:before="60" w:after="60"/>
            </w:pPr>
          </w:p>
        </w:tc>
      </w:tr>
      <w:tr w:rsidR="00AF4B9E" w:rsidRPr="006C7E37" w:rsidTr="00F61600">
        <w:trPr>
          <w:cantSplit/>
        </w:trPr>
        <w:tc>
          <w:tcPr>
            <w:tcW w:w="4858" w:type="dxa"/>
            <w:shd w:val="clear" w:color="auto" w:fill="auto"/>
          </w:tcPr>
          <w:p w:rsidR="00AF4B9E" w:rsidRPr="00AF4B9E" w:rsidRDefault="00AF4B9E" w:rsidP="00AF4B9E">
            <w:pPr>
              <w:tabs>
                <w:tab w:val="left" w:pos="1276"/>
              </w:tabs>
              <w:autoSpaceDE w:val="0"/>
              <w:autoSpaceDN w:val="0"/>
              <w:adjustRightInd w:val="0"/>
            </w:pPr>
            <w:r w:rsidRPr="00AF4B9E">
              <w:rPr>
                <w:b/>
              </w:rPr>
              <w:t>B.17</w:t>
            </w:r>
            <w:r w:rsidRPr="00486829">
              <w:t xml:space="preserve"> There must be an effective process in place to support and enable learners to</w:t>
            </w:r>
            <w:r>
              <w:t xml:space="preserve"> </w:t>
            </w:r>
            <w:r w:rsidRPr="00486829">
              <w:t xml:space="preserve">raise concerns about the safety </w:t>
            </w:r>
            <w:r>
              <w:t>and wellbeing of service users.</w:t>
            </w:r>
          </w:p>
        </w:tc>
        <w:tc>
          <w:tcPr>
            <w:tcW w:w="4848" w:type="dxa"/>
          </w:tcPr>
          <w:p w:rsidR="00AF4B9E" w:rsidRPr="006C7E37" w:rsidRDefault="00AF4B9E" w:rsidP="006C7E37">
            <w:pPr>
              <w:spacing w:before="60" w:after="60"/>
            </w:pPr>
          </w:p>
        </w:tc>
        <w:tc>
          <w:tcPr>
            <w:tcW w:w="4856" w:type="dxa"/>
            <w:shd w:val="clear" w:color="auto" w:fill="auto"/>
          </w:tcPr>
          <w:p w:rsidR="00AF4B9E" w:rsidRPr="006C7E37" w:rsidRDefault="00AF4B9E" w:rsidP="006C7E37">
            <w:pPr>
              <w:spacing w:before="60" w:after="60"/>
            </w:pPr>
          </w:p>
        </w:tc>
      </w:tr>
      <w:tr w:rsidR="00AF4B9E" w:rsidRPr="006C7E37" w:rsidTr="00F61600">
        <w:trPr>
          <w:cantSplit/>
        </w:trPr>
        <w:tc>
          <w:tcPr>
            <w:tcW w:w="4858" w:type="dxa"/>
            <w:shd w:val="clear" w:color="auto" w:fill="auto"/>
          </w:tcPr>
          <w:p w:rsidR="00AF4B9E" w:rsidRPr="00AF4B9E" w:rsidRDefault="00AF4B9E" w:rsidP="00AF4B9E">
            <w:pPr>
              <w:tabs>
                <w:tab w:val="left" w:pos="1276"/>
              </w:tabs>
              <w:autoSpaceDE w:val="0"/>
              <w:autoSpaceDN w:val="0"/>
              <w:adjustRightInd w:val="0"/>
            </w:pPr>
            <w:r w:rsidRPr="00AF4B9E">
              <w:rPr>
                <w:b/>
              </w:rPr>
              <w:t>B.18</w:t>
            </w:r>
            <w:r w:rsidRPr="00486829">
              <w:t xml:space="preserve"> The education provider must ensure learners, educators and others are aware</w:t>
            </w:r>
            <w:r>
              <w:t xml:space="preserve"> </w:t>
            </w:r>
            <w:r w:rsidRPr="00486829">
              <w:t xml:space="preserve">that only successful completion </w:t>
            </w:r>
            <w:r>
              <w:t xml:space="preserve">of an </w:t>
            </w:r>
            <w:r w:rsidRPr="00486829">
              <w:t>approved</w:t>
            </w:r>
            <w:r>
              <w:t xml:space="preserve"> programme leads to eligibility </w:t>
            </w:r>
            <w:r w:rsidRPr="00486829">
              <w:t xml:space="preserve">for annotation of a learners’ entry on the </w:t>
            </w:r>
            <w:r>
              <w:t>Register.</w:t>
            </w:r>
          </w:p>
        </w:tc>
        <w:tc>
          <w:tcPr>
            <w:tcW w:w="4848" w:type="dxa"/>
          </w:tcPr>
          <w:p w:rsidR="00AF4B9E" w:rsidRPr="006C7E37" w:rsidRDefault="00AF4B9E" w:rsidP="006C7E37">
            <w:pPr>
              <w:spacing w:before="60" w:after="60"/>
            </w:pPr>
          </w:p>
        </w:tc>
        <w:tc>
          <w:tcPr>
            <w:tcW w:w="4856" w:type="dxa"/>
            <w:shd w:val="clear" w:color="auto" w:fill="auto"/>
          </w:tcPr>
          <w:p w:rsidR="00AF4B9E" w:rsidRPr="006C7E37" w:rsidRDefault="00AF4B9E" w:rsidP="006C7E37">
            <w:pPr>
              <w:spacing w:before="60" w:after="60"/>
            </w:pPr>
          </w:p>
        </w:tc>
      </w:tr>
      <w:tr w:rsidR="00953140" w:rsidRPr="006C7E37" w:rsidTr="00F61600">
        <w:trPr>
          <w:cantSplit/>
        </w:trPr>
        <w:tc>
          <w:tcPr>
            <w:tcW w:w="14562" w:type="dxa"/>
            <w:gridSpan w:val="3"/>
            <w:shd w:val="clear" w:color="auto" w:fill="BFBFBF"/>
          </w:tcPr>
          <w:p w:rsidR="00953140" w:rsidRPr="006C7E37" w:rsidRDefault="00953140" w:rsidP="006C7E37">
            <w:pPr>
              <w:spacing w:before="60" w:after="60"/>
              <w:rPr>
                <w:b/>
              </w:rPr>
            </w:pPr>
            <w:r w:rsidRPr="00953140">
              <w:rPr>
                <w:b/>
              </w:rPr>
              <w:t>Programme design and delivery</w:t>
            </w:r>
          </w:p>
        </w:tc>
      </w:tr>
      <w:tr w:rsidR="00CF1D53" w:rsidRPr="006C7E37" w:rsidTr="00F61600">
        <w:trPr>
          <w:cantSplit/>
        </w:trPr>
        <w:tc>
          <w:tcPr>
            <w:tcW w:w="4858" w:type="dxa"/>
            <w:shd w:val="clear" w:color="auto" w:fill="auto"/>
          </w:tcPr>
          <w:p w:rsidR="00CF1D53" w:rsidRPr="006C7E37" w:rsidRDefault="00CF1D53" w:rsidP="00953140">
            <w:pPr>
              <w:pStyle w:val="BodyTextIndent"/>
              <w:spacing w:before="60" w:after="60"/>
              <w:ind w:left="0" w:firstLine="27"/>
              <w:rPr>
                <w:rFonts w:ascii="Arial" w:hAnsi="Arial" w:cs="Arial"/>
                <w:sz w:val="24"/>
              </w:rPr>
            </w:pPr>
            <w:r w:rsidRPr="006C7E37">
              <w:rPr>
                <w:rFonts w:ascii="Arial" w:hAnsi="Arial" w:cs="Arial"/>
                <w:b/>
                <w:sz w:val="24"/>
              </w:rPr>
              <w:t>C.1</w:t>
            </w:r>
            <w:r w:rsidRPr="006C7E37">
              <w:rPr>
                <w:rFonts w:ascii="Arial" w:hAnsi="Arial" w:cs="Arial"/>
                <w:sz w:val="24"/>
              </w:rPr>
              <w:t xml:space="preserve"> </w:t>
            </w:r>
            <w:r w:rsidR="00953140" w:rsidRPr="00953140">
              <w:rPr>
                <w:rFonts w:ascii="Arial" w:hAnsi="Arial" w:cs="Arial"/>
                <w:sz w:val="24"/>
              </w:rPr>
              <w:t>The learning outcomes must ensure that learners meet the standards set out</w:t>
            </w:r>
            <w:r w:rsidR="00953140">
              <w:rPr>
                <w:rFonts w:ascii="Arial" w:hAnsi="Arial" w:cs="Arial"/>
                <w:sz w:val="24"/>
              </w:rPr>
              <w:t xml:space="preserve"> </w:t>
            </w:r>
            <w:r w:rsidR="00953140" w:rsidRPr="00953140">
              <w:rPr>
                <w:rFonts w:ascii="Arial" w:hAnsi="Arial" w:cs="Arial"/>
                <w:sz w:val="24"/>
              </w:rPr>
              <w:t>in the Competency Framework for all Prescribers</w:t>
            </w:r>
            <w:r w:rsidR="00953140">
              <w:rPr>
                <w:rStyle w:val="FootnoteReference"/>
                <w:rFonts w:ascii="Arial" w:hAnsi="Arial" w:cs="Arial"/>
                <w:sz w:val="24"/>
              </w:rPr>
              <w:footnoteReference w:id="1"/>
            </w:r>
            <w:r w:rsidR="00953140" w:rsidRPr="00953140">
              <w:rPr>
                <w:rFonts w:ascii="Arial" w:hAnsi="Arial" w:cs="Arial"/>
                <w:sz w:val="24"/>
              </w:rPr>
              <w:t>, as appropriate to the</w:t>
            </w:r>
            <w:r w:rsidR="00953140">
              <w:rPr>
                <w:rFonts w:ascii="Arial" w:hAnsi="Arial" w:cs="Arial"/>
                <w:sz w:val="24"/>
              </w:rPr>
              <w:t xml:space="preserve"> </w:t>
            </w:r>
            <w:r w:rsidR="00953140" w:rsidRPr="00953140">
              <w:rPr>
                <w:rFonts w:ascii="Arial" w:hAnsi="Arial" w:cs="Arial"/>
                <w:sz w:val="24"/>
              </w:rPr>
              <w:t>prescribing mechanism(s)</w:t>
            </w:r>
            <w:r w:rsidR="00953140">
              <w:rPr>
                <w:rStyle w:val="FootnoteReference"/>
                <w:rFonts w:ascii="Arial" w:hAnsi="Arial" w:cs="Arial"/>
                <w:sz w:val="24"/>
              </w:rPr>
              <w:footnoteReference w:id="2"/>
            </w:r>
            <w:r w:rsidR="00953140" w:rsidRPr="00953140">
              <w:rPr>
                <w:rFonts w:ascii="Arial" w:hAnsi="Arial" w:cs="Arial"/>
                <w:sz w:val="24"/>
              </w:rPr>
              <w:t xml:space="preserve"> delivered by the programme</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953140">
            <w:pPr>
              <w:pStyle w:val="BodyTextIndent"/>
              <w:spacing w:before="60" w:after="60"/>
              <w:ind w:left="0" w:firstLine="27"/>
              <w:rPr>
                <w:rFonts w:ascii="Arial" w:hAnsi="Arial" w:cs="Arial"/>
                <w:sz w:val="24"/>
              </w:rPr>
            </w:pPr>
            <w:r w:rsidRPr="006C7E37">
              <w:rPr>
                <w:rFonts w:ascii="Arial" w:hAnsi="Arial" w:cs="Arial"/>
                <w:b/>
                <w:sz w:val="24"/>
              </w:rPr>
              <w:t>C.2</w:t>
            </w:r>
            <w:r w:rsidRPr="006C7E37">
              <w:rPr>
                <w:rFonts w:ascii="Arial" w:hAnsi="Arial" w:cs="Arial"/>
                <w:sz w:val="24"/>
              </w:rPr>
              <w:t xml:space="preserve"> </w:t>
            </w:r>
            <w:r w:rsidR="00953140" w:rsidRPr="00953140">
              <w:rPr>
                <w:rFonts w:ascii="Arial" w:hAnsi="Arial" w:cs="Arial"/>
                <w:sz w:val="24"/>
              </w:rPr>
              <w:t>The learning outcomes must ensure that learners understand and are able to</w:t>
            </w:r>
            <w:r w:rsidR="00953140">
              <w:rPr>
                <w:rFonts w:ascii="Arial" w:hAnsi="Arial" w:cs="Arial"/>
                <w:sz w:val="24"/>
              </w:rPr>
              <w:t xml:space="preserve"> </w:t>
            </w:r>
            <w:r w:rsidR="00953140" w:rsidRPr="00953140">
              <w:rPr>
                <w:rFonts w:ascii="Arial" w:hAnsi="Arial" w:cs="Arial"/>
                <w:sz w:val="24"/>
              </w:rPr>
              <w:t>meet the expectations of professional behaviour in prescribing practice,</w:t>
            </w:r>
            <w:r w:rsidR="00953140">
              <w:rPr>
                <w:rFonts w:ascii="Arial" w:hAnsi="Arial" w:cs="Arial"/>
                <w:sz w:val="24"/>
              </w:rPr>
              <w:t xml:space="preserve"> </w:t>
            </w:r>
            <w:r w:rsidR="00953140" w:rsidRPr="00953140">
              <w:rPr>
                <w:rFonts w:ascii="Arial" w:hAnsi="Arial" w:cs="Arial"/>
                <w:sz w:val="24"/>
              </w:rPr>
              <w:t>including the standards of conduct, performance and ethics.</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953140">
            <w:pPr>
              <w:tabs>
                <w:tab w:val="left" w:pos="851"/>
              </w:tabs>
              <w:spacing w:before="60" w:after="60"/>
              <w:ind w:firstLine="27"/>
            </w:pPr>
            <w:r w:rsidRPr="006C7E37">
              <w:rPr>
                <w:b/>
              </w:rPr>
              <w:t>C.3</w:t>
            </w:r>
            <w:r w:rsidRPr="006C7E37">
              <w:t xml:space="preserve"> </w:t>
            </w:r>
            <w:r w:rsidR="00953140">
              <w:t>The programme must reflect the philosophy, core values, skills and knowledge base as articulated in any relevant curriculum guidance.</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953140">
            <w:pPr>
              <w:pStyle w:val="BodyTextIndent"/>
              <w:spacing w:before="60" w:after="60"/>
              <w:ind w:left="0" w:firstLine="27"/>
              <w:rPr>
                <w:rFonts w:ascii="Arial" w:hAnsi="Arial" w:cs="Arial"/>
                <w:sz w:val="24"/>
              </w:rPr>
            </w:pPr>
            <w:r w:rsidRPr="006C7E37">
              <w:rPr>
                <w:rFonts w:ascii="Arial" w:hAnsi="Arial" w:cs="Arial"/>
                <w:b/>
                <w:sz w:val="24"/>
              </w:rPr>
              <w:t>C.4</w:t>
            </w:r>
            <w:r w:rsidRPr="006C7E37">
              <w:rPr>
                <w:rFonts w:ascii="Arial" w:hAnsi="Arial" w:cs="Arial"/>
                <w:sz w:val="24"/>
              </w:rPr>
              <w:t xml:space="preserve"> </w:t>
            </w:r>
            <w:r w:rsidR="00953140" w:rsidRPr="00953140">
              <w:rPr>
                <w:rFonts w:ascii="Arial" w:hAnsi="Arial" w:cs="Arial"/>
                <w:sz w:val="24"/>
              </w:rPr>
              <w:t>The cur</w:t>
            </w:r>
            <w:r w:rsidR="00953140">
              <w:rPr>
                <w:rFonts w:ascii="Arial" w:hAnsi="Arial" w:cs="Arial"/>
                <w:sz w:val="24"/>
              </w:rPr>
              <w:t xml:space="preserve">riculum must remain relevant to </w:t>
            </w:r>
            <w:r w:rsidR="00953140" w:rsidRPr="00953140">
              <w:rPr>
                <w:rFonts w:ascii="Arial" w:hAnsi="Arial" w:cs="Arial"/>
                <w:sz w:val="24"/>
              </w:rPr>
              <w:t>current practice.</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953140">
            <w:pPr>
              <w:pStyle w:val="BodyTextIndent"/>
              <w:spacing w:before="60" w:after="60"/>
              <w:ind w:left="0" w:firstLine="27"/>
              <w:rPr>
                <w:rFonts w:ascii="Arial" w:hAnsi="Arial" w:cs="Arial"/>
                <w:sz w:val="24"/>
              </w:rPr>
            </w:pPr>
            <w:r w:rsidRPr="006C7E37">
              <w:rPr>
                <w:rFonts w:ascii="Arial" w:hAnsi="Arial" w:cs="Arial"/>
                <w:b/>
                <w:sz w:val="24"/>
              </w:rPr>
              <w:t>C.5</w:t>
            </w:r>
            <w:r w:rsidRPr="006C7E37">
              <w:rPr>
                <w:rFonts w:ascii="Arial" w:hAnsi="Arial" w:cs="Arial"/>
                <w:sz w:val="24"/>
              </w:rPr>
              <w:t xml:space="preserve"> </w:t>
            </w:r>
            <w:r w:rsidR="00953140" w:rsidRPr="00953140">
              <w:rPr>
                <w:rFonts w:ascii="Arial" w:hAnsi="Arial" w:cs="Arial"/>
                <w:sz w:val="24"/>
              </w:rPr>
              <w:t>Integration of theory and practice must be central to the programme.</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953140">
            <w:pPr>
              <w:pStyle w:val="BodyTextIndent"/>
              <w:spacing w:before="60" w:after="60"/>
              <w:ind w:left="0" w:firstLine="27"/>
              <w:rPr>
                <w:rFonts w:ascii="Arial" w:hAnsi="Arial" w:cs="Arial"/>
                <w:sz w:val="24"/>
              </w:rPr>
            </w:pPr>
            <w:r w:rsidRPr="006C7E37">
              <w:rPr>
                <w:rFonts w:ascii="Arial" w:hAnsi="Arial" w:cs="Arial"/>
                <w:b/>
                <w:sz w:val="24"/>
              </w:rPr>
              <w:t>C.6</w:t>
            </w:r>
            <w:r w:rsidRPr="006C7E37">
              <w:rPr>
                <w:rFonts w:ascii="Arial" w:hAnsi="Arial" w:cs="Arial"/>
                <w:sz w:val="24"/>
              </w:rPr>
              <w:t xml:space="preserve"> </w:t>
            </w:r>
            <w:r w:rsidR="00953140" w:rsidRPr="00953140">
              <w:rPr>
                <w:rFonts w:ascii="Arial" w:hAnsi="Arial" w:cs="Arial"/>
                <w:sz w:val="24"/>
              </w:rPr>
              <w:t>The learning and teaching methods used must be appropriate to the effective</w:t>
            </w:r>
            <w:r w:rsidR="00953140">
              <w:rPr>
                <w:rFonts w:ascii="Arial" w:hAnsi="Arial" w:cs="Arial"/>
                <w:sz w:val="24"/>
              </w:rPr>
              <w:t xml:space="preserve"> </w:t>
            </w:r>
            <w:r w:rsidR="00953140" w:rsidRPr="00953140">
              <w:rPr>
                <w:rFonts w:ascii="Arial" w:hAnsi="Arial" w:cs="Arial"/>
                <w:sz w:val="24"/>
              </w:rPr>
              <w:t>delivery of the learning outcomes</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953140">
            <w:pPr>
              <w:pStyle w:val="BodyTextIndent"/>
              <w:spacing w:before="60" w:after="60"/>
              <w:ind w:left="0" w:firstLine="27"/>
              <w:rPr>
                <w:rFonts w:ascii="Arial" w:hAnsi="Arial" w:cs="Arial"/>
                <w:sz w:val="24"/>
              </w:rPr>
            </w:pPr>
            <w:r w:rsidRPr="006C7E37">
              <w:rPr>
                <w:rFonts w:ascii="Arial" w:hAnsi="Arial" w:cs="Arial"/>
                <w:b/>
                <w:sz w:val="24"/>
              </w:rPr>
              <w:t>C.7</w:t>
            </w:r>
            <w:r w:rsidRPr="006C7E37">
              <w:rPr>
                <w:rFonts w:ascii="Arial" w:hAnsi="Arial" w:cs="Arial"/>
                <w:sz w:val="24"/>
              </w:rPr>
              <w:t xml:space="preserve"> </w:t>
            </w:r>
            <w:r w:rsidR="00953140" w:rsidRPr="00953140">
              <w:rPr>
                <w:rFonts w:ascii="Arial" w:hAnsi="Arial" w:cs="Arial"/>
                <w:sz w:val="24"/>
              </w:rPr>
              <w:t>The delivery of the programme must support and develop autonomous and</w:t>
            </w:r>
            <w:r w:rsidR="00953140">
              <w:rPr>
                <w:rFonts w:ascii="Arial" w:hAnsi="Arial" w:cs="Arial"/>
                <w:sz w:val="24"/>
              </w:rPr>
              <w:t xml:space="preserve"> </w:t>
            </w:r>
            <w:r w:rsidR="00953140" w:rsidRPr="00953140">
              <w:rPr>
                <w:rFonts w:ascii="Arial" w:hAnsi="Arial" w:cs="Arial"/>
                <w:sz w:val="24"/>
              </w:rPr>
              <w:t>reflective thinking</w:t>
            </w:r>
            <w:r w:rsidR="00953140">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953140">
            <w:pPr>
              <w:pStyle w:val="BodyTextIndent"/>
              <w:spacing w:before="60" w:after="60"/>
              <w:ind w:left="0" w:firstLine="27"/>
              <w:rPr>
                <w:rFonts w:ascii="Arial" w:hAnsi="Arial" w:cs="Arial"/>
                <w:sz w:val="24"/>
              </w:rPr>
            </w:pPr>
            <w:r w:rsidRPr="006C7E37">
              <w:rPr>
                <w:rFonts w:ascii="Arial" w:hAnsi="Arial" w:cs="Arial"/>
                <w:b/>
                <w:sz w:val="24"/>
              </w:rPr>
              <w:t>C.8</w:t>
            </w:r>
            <w:r w:rsidRPr="006C7E37">
              <w:rPr>
                <w:rFonts w:ascii="Arial" w:hAnsi="Arial" w:cs="Arial"/>
                <w:sz w:val="24"/>
              </w:rPr>
              <w:t xml:space="preserve"> </w:t>
            </w:r>
            <w:r w:rsidR="00953140" w:rsidRPr="00953140">
              <w:rPr>
                <w:rFonts w:ascii="Arial" w:hAnsi="Arial" w:cs="Arial"/>
                <w:sz w:val="24"/>
              </w:rPr>
              <w:t>The delivery of the programme must support and develop evidence-based</w:t>
            </w:r>
            <w:r w:rsidR="00953140">
              <w:rPr>
                <w:rFonts w:ascii="Arial" w:hAnsi="Arial" w:cs="Arial"/>
                <w:sz w:val="24"/>
              </w:rPr>
              <w:t xml:space="preserve"> </w:t>
            </w:r>
            <w:r w:rsidR="00953140" w:rsidRPr="00953140">
              <w:rPr>
                <w:rFonts w:ascii="Arial" w:hAnsi="Arial" w:cs="Arial"/>
                <w:sz w:val="24"/>
              </w:rPr>
              <w:t>practice</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953140">
            <w:pPr>
              <w:pStyle w:val="BodyTextIndent"/>
              <w:spacing w:before="60" w:after="60"/>
              <w:ind w:left="0" w:firstLine="27"/>
              <w:rPr>
                <w:rFonts w:ascii="Arial" w:hAnsi="Arial" w:cs="Arial"/>
                <w:sz w:val="24"/>
              </w:rPr>
            </w:pPr>
            <w:r w:rsidRPr="006C7E37">
              <w:rPr>
                <w:rFonts w:ascii="Arial" w:hAnsi="Arial" w:cs="Arial"/>
                <w:b/>
                <w:sz w:val="24"/>
              </w:rPr>
              <w:t>C.9</w:t>
            </w:r>
            <w:r w:rsidRPr="006C7E37">
              <w:rPr>
                <w:rFonts w:ascii="Arial" w:hAnsi="Arial" w:cs="Arial"/>
                <w:sz w:val="24"/>
              </w:rPr>
              <w:t xml:space="preserve"> </w:t>
            </w:r>
            <w:r w:rsidR="00953140" w:rsidRPr="00953140">
              <w:rPr>
                <w:rFonts w:ascii="Arial" w:hAnsi="Arial" w:cs="Arial"/>
                <w:sz w:val="24"/>
              </w:rPr>
              <w:t>The programme must include an effective process for obtaining appropriate</w:t>
            </w:r>
            <w:r w:rsidR="00953140">
              <w:rPr>
                <w:rFonts w:ascii="Arial" w:hAnsi="Arial" w:cs="Arial"/>
                <w:sz w:val="24"/>
              </w:rPr>
              <w:t xml:space="preserve"> </w:t>
            </w:r>
            <w:r w:rsidR="00953140" w:rsidRPr="00953140">
              <w:rPr>
                <w:rFonts w:ascii="Arial" w:hAnsi="Arial" w:cs="Arial"/>
                <w:sz w:val="24"/>
              </w:rPr>
              <w:t>consent from service users and learners</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953140" w:rsidRPr="006C7E37" w:rsidTr="00F61600">
        <w:trPr>
          <w:cantSplit/>
        </w:trPr>
        <w:tc>
          <w:tcPr>
            <w:tcW w:w="4858" w:type="dxa"/>
            <w:shd w:val="clear" w:color="auto" w:fill="auto"/>
          </w:tcPr>
          <w:p w:rsidR="00953140" w:rsidRPr="006C7E37" w:rsidRDefault="00953140" w:rsidP="00953140">
            <w:pPr>
              <w:spacing w:before="60" w:after="60"/>
              <w:ind w:firstLine="27"/>
              <w:rPr>
                <w:b/>
              </w:rPr>
            </w:pPr>
            <w:r w:rsidRPr="00953140">
              <w:rPr>
                <w:b/>
              </w:rPr>
              <w:t xml:space="preserve">C.10 </w:t>
            </w:r>
            <w:r w:rsidRPr="00953140">
              <w:t>The education provider must identify and communicate to learners the parts of the programme where attendance is mandatory, and must have associated monitoring processes in place.</w:t>
            </w:r>
          </w:p>
        </w:tc>
        <w:tc>
          <w:tcPr>
            <w:tcW w:w="4848" w:type="dxa"/>
            <w:shd w:val="clear" w:color="auto" w:fill="auto"/>
          </w:tcPr>
          <w:p w:rsidR="00953140" w:rsidRPr="006C7E37" w:rsidRDefault="00953140" w:rsidP="006C7E37">
            <w:pPr>
              <w:spacing w:before="60" w:after="60"/>
              <w:rPr>
                <w:b/>
              </w:rPr>
            </w:pPr>
          </w:p>
        </w:tc>
        <w:tc>
          <w:tcPr>
            <w:tcW w:w="4856" w:type="dxa"/>
            <w:shd w:val="clear" w:color="auto" w:fill="auto"/>
          </w:tcPr>
          <w:p w:rsidR="00953140" w:rsidRPr="006C7E37" w:rsidRDefault="00953140" w:rsidP="006C7E37">
            <w:pPr>
              <w:spacing w:before="60" w:after="60"/>
              <w:rPr>
                <w:b/>
              </w:rPr>
            </w:pPr>
          </w:p>
        </w:tc>
      </w:tr>
      <w:tr w:rsidR="00953140" w:rsidRPr="006C7E37" w:rsidTr="00F61600">
        <w:trPr>
          <w:cantSplit/>
        </w:trPr>
        <w:tc>
          <w:tcPr>
            <w:tcW w:w="14562" w:type="dxa"/>
            <w:gridSpan w:val="3"/>
            <w:shd w:val="clear" w:color="auto" w:fill="BFBFBF"/>
          </w:tcPr>
          <w:p w:rsidR="00953140" w:rsidRPr="006C7E37" w:rsidRDefault="00953140" w:rsidP="006C7E37">
            <w:pPr>
              <w:spacing w:before="60" w:after="60"/>
              <w:rPr>
                <w:b/>
              </w:rPr>
            </w:pPr>
            <w:r w:rsidRPr="00953140">
              <w:rPr>
                <w:b/>
              </w:rPr>
              <w:t>Practice-based learning</w:t>
            </w:r>
          </w:p>
        </w:tc>
      </w:tr>
      <w:tr w:rsidR="00CF1D53" w:rsidRPr="006C7E37" w:rsidTr="00F61600">
        <w:trPr>
          <w:cantSplit/>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D.1</w:t>
            </w:r>
            <w:r w:rsidRPr="006C7E37">
              <w:rPr>
                <w:rFonts w:ascii="Arial" w:hAnsi="Arial" w:cs="Arial"/>
                <w:sz w:val="24"/>
              </w:rPr>
              <w:t xml:space="preserve"> </w:t>
            </w:r>
            <w:r w:rsidR="00953140" w:rsidRPr="00953140">
              <w:rPr>
                <w:rFonts w:ascii="Arial" w:hAnsi="Arial" w:cs="Arial"/>
                <w:sz w:val="24"/>
              </w:rPr>
              <w:t>Practice based-learning must be integral to the programme</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D.2</w:t>
            </w:r>
            <w:r w:rsidRPr="006C7E37">
              <w:rPr>
                <w:rFonts w:ascii="Arial" w:hAnsi="Arial" w:cs="Arial"/>
                <w:sz w:val="24"/>
              </w:rPr>
              <w:t xml:space="preserve"> </w:t>
            </w:r>
            <w:r w:rsidR="00953140" w:rsidRPr="00953140">
              <w:rPr>
                <w:rFonts w:ascii="Arial" w:hAnsi="Arial" w:cs="Arial"/>
                <w:sz w:val="24"/>
              </w:rPr>
              <w:t>The structure, duration and range of practice-based learning must support the</w:t>
            </w:r>
            <w:r w:rsidR="00953140">
              <w:rPr>
                <w:rFonts w:ascii="Arial" w:hAnsi="Arial" w:cs="Arial"/>
                <w:sz w:val="24"/>
              </w:rPr>
              <w:t xml:space="preserve"> </w:t>
            </w:r>
            <w:r w:rsidR="00953140" w:rsidRPr="00953140">
              <w:rPr>
                <w:rFonts w:ascii="Arial" w:hAnsi="Arial" w:cs="Arial"/>
                <w:sz w:val="24"/>
              </w:rPr>
              <w:t>achievement of the learning outcomes and the standards of set out in the</w:t>
            </w:r>
            <w:r w:rsidR="00953140">
              <w:rPr>
                <w:rFonts w:ascii="Arial" w:hAnsi="Arial" w:cs="Arial"/>
                <w:sz w:val="24"/>
              </w:rPr>
              <w:t xml:space="preserve"> </w:t>
            </w:r>
            <w:r w:rsidR="00953140" w:rsidRPr="00953140">
              <w:rPr>
                <w:rFonts w:ascii="Arial" w:hAnsi="Arial" w:cs="Arial"/>
                <w:sz w:val="24"/>
              </w:rPr>
              <w:t>Single Competency Framework for all Prescribers, as appropriate to the</w:t>
            </w:r>
            <w:r w:rsidR="00953140">
              <w:rPr>
                <w:rFonts w:ascii="Arial" w:hAnsi="Arial" w:cs="Arial"/>
                <w:sz w:val="24"/>
              </w:rPr>
              <w:t xml:space="preserve"> prescribing mechanism</w:t>
            </w:r>
            <w:r w:rsidR="00953140" w:rsidRPr="00953140">
              <w:rPr>
                <w:rFonts w:ascii="Arial" w:hAnsi="Arial" w:cs="Arial"/>
                <w:sz w:val="24"/>
              </w:rPr>
              <w:t xml:space="preserve"> delivered by the programme.</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D.3</w:t>
            </w:r>
            <w:r w:rsidRPr="006C7E37">
              <w:rPr>
                <w:rFonts w:ascii="Arial" w:hAnsi="Arial" w:cs="Arial"/>
                <w:sz w:val="24"/>
              </w:rPr>
              <w:t xml:space="preserve"> </w:t>
            </w:r>
            <w:r w:rsidR="00953140" w:rsidRPr="00953140">
              <w:rPr>
                <w:rFonts w:ascii="Arial" w:hAnsi="Arial" w:cs="Arial"/>
                <w:sz w:val="24"/>
              </w:rPr>
              <w:t>The education provider must maintain a thorough and effective system for</w:t>
            </w:r>
            <w:r w:rsidR="00953140">
              <w:rPr>
                <w:rFonts w:ascii="Arial" w:hAnsi="Arial" w:cs="Arial"/>
                <w:sz w:val="24"/>
              </w:rPr>
              <w:t xml:space="preserve"> </w:t>
            </w:r>
            <w:r w:rsidR="00953140" w:rsidRPr="00953140">
              <w:rPr>
                <w:rFonts w:ascii="Arial" w:hAnsi="Arial" w:cs="Arial"/>
                <w:sz w:val="24"/>
              </w:rPr>
              <w:t>approving and ensuring the quality of practice-based learning</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D.4</w:t>
            </w:r>
            <w:r w:rsidRPr="006C7E37">
              <w:rPr>
                <w:rFonts w:ascii="Arial" w:hAnsi="Arial" w:cs="Arial"/>
                <w:sz w:val="24"/>
              </w:rPr>
              <w:t xml:space="preserve"> </w:t>
            </w:r>
            <w:r w:rsidR="00953140" w:rsidRPr="00953140">
              <w:rPr>
                <w:rFonts w:ascii="Arial" w:hAnsi="Arial" w:cs="Arial"/>
                <w:sz w:val="24"/>
              </w:rPr>
              <w:t>Practice-based learning must take place in a setting that is safe and</w:t>
            </w:r>
            <w:r w:rsidR="00953140">
              <w:rPr>
                <w:rFonts w:ascii="Arial" w:hAnsi="Arial" w:cs="Arial"/>
                <w:sz w:val="24"/>
              </w:rPr>
              <w:t xml:space="preserve"> </w:t>
            </w:r>
            <w:r w:rsidR="00953140" w:rsidRPr="00953140">
              <w:rPr>
                <w:rFonts w:ascii="Arial" w:hAnsi="Arial" w:cs="Arial"/>
                <w:sz w:val="24"/>
              </w:rPr>
              <w:t>supportive for learners and service users.</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D.5</w:t>
            </w:r>
            <w:r w:rsidRPr="006C7E37">
              <w:rPr>
                <w:rFonts w:ascii="Arial" w:hAnsi="Arial" w:cs="Arial"/>
                <w:sz w:val="24"/>
              </w:rPr>
              <w:t xml:space="preserve"> </w:t>
            </w:r>
            <w:r w:rsidR="00953140" w:rsidRPr="00953140">
              <w:rPr>
                <w:rFonts w:ascii="Arial" w:hAnsi="Arial" w:cs="Arial"/>
                <w:sz w:val="24"/>
              </w:rPr>
              <w:t>There must be an adequate number of appropriately qualified and</w:t>
            </w:r>
            <w:r w:rsidR="00953140">
              <w:rPr>
                <w:rFonts w:ascii="Arial" w:hAnsi="Arial" w:cs="Arial"/>
                <w:sz w:val="24"/>
              </w:rPr>
              <w:t xml:space="preserve"> </w:t>
            </w:r>
            <w:r w:rsidR="00953140" w:rsidRPr="00953140">
              <w:rPr>
                <w:rFonts w:ascii="Arial" w:hAnsi="Arial" w:cs="Arial"/>
                <w:sz w:val="24"/>
              </w:rPr>
              <w:t>experienced and, where appropriate, registered staff involved in practice</w:t>
            </w:r>
            <w:r w:rsidR="00953140">
              <w:rPr>
                <w:rFonts w:ascii="Arial" w:hAnsi="Arial" w:cs="Arial"/>
                <w:sz w:val="24"/>
              </w:rPr>
              <w:t>-</w:t>
            </w:r>
            <w:r w:rsidR="00953140" w:rsidRPr="00953140">
              <w:rPr>
                <w:rFonts w:ascii="Arial" w:hAnsi="Arial" w:cs="Arial"/>
                <w:sz w:val="24"/>
              </w:rPr>
              <w:t>based</w:t>
            </w:r>
            <w:r w:rsidR="00953140">
              <w:rPr>
                <w:rFonts w:ascii="Arial" w:hAnsi="Arial" w:cs="Arial"/>
                <w:sz w:val="24"/>
              </w:rPr>
              <w:t xml:space="preserve"> </w:t>
            </w:r>
            <w:r w:rsidR="00953140" w:rsidRPr="00953140">
              <w:rPr>
                <w:rFonts w:ascii="Arial" w:hAnsi="Arial" w:cs="Arial"/>
                <w:sz w:val="24"/>
              </w:rPr>
              <w:t>learning.</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D.6</w:t>
            </w:r>
            <w:r w:rsidRPr="006C7E37">
              <w:rPr>
                <w:rFonts w:ascii="Arial" w:hAnsi="Arial" w:cs="Arial"/>
                <w:sz w:val="24"/>
              </w:rPr>
              <w:t xml:space="preserve"> </w:t>
            </w:r>
            <w:r w:rsidR="001B095C" w:rsidRPr="001B095C">
              <w:rPr>
                <w:rFonts w:ascii="Arial" w:hAnsi="Arial" w:cs="Arial"/>
                <w:sz w:val="24"/>
              </w:rPr>
              <w:t>Practice educators must be a qualified prescriber, on the register of their</w:t>
            </w:r>
            <w:r w:rsidR="001B095C">
              <w:rPr>
                <w:rFonts w:ascii="Arial" w:hAnsi="Arial" w:cs="Arial"/>
                <w:sz w:val="24"/>
              </w:rPr>
              <w:t xml:space="preserve"> </w:t>
            </w:r>
            <w:r w:rsidR="001B095C" w:rsidRPr="001B095C">
              <w:rPr>
                <w:rFonts w:ascii="Arial" w:hAnsi="Arial" w:cs="Arial"/>
                <w:sz w:val="24"/>
              </w:rPr>
              <w:t>statutory regulator with annotation(s) for prescribing where applicable and</w:t>
            </w:r>
            <w:r w:rsidR="001B095C">
              <w:rPr>
                <w:rFonts w:ascii="Arial" w:hAnsi="Arial" w:cs="Arial"/>
                <w:sz w:val="24"/>
              </w:rPr>
              <w:t xml:space="preserve"> </w:t>
            </w:r>
            <w:r w:rsidR="001B095C" w:rsidRPr="001B095C">
              <w:rPr>
                <w:rFonts w:ascii="Arial" w:hAnsi="Arial" w:cs="Arial"/>
                <w:sz w:val="24"/>
              </w:rPr>
              <w:t>with the relevant skills, knowledge and experience to support safe and</w:t>
            </w:r>
            <w:r w:rsidR="001B095C">
              <w:rPr>
                <w:rFonts w:ascii="Arial" w:hAnsi="Arial" w:cs="Arial"/>
                <w:sz w:val="24"/>
              </w:rPr>
              <w:t xml:space="preserve"> </w:t>
            </w:r>
            <w:r w:rsidR="001B095C" w:rsidRPr="001B095C">
              <w:rPr>
                <w:rFonts w:ascii="Arial" w:hAnsi="Arial" w:cs="Arial"/>
                <w:sz w:val="24"/>
              </w:rPr>
              <w:t>effective learning.</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D.7</w:t>
            </w:r>
            <w:r w:rsidRPr="006C7E37">
              <w:rPr>
                <w:rFonts w:ascii="Arial" w:hAnsi="Arial" w:cs="Arial"/>
                <w:sz w:val="24"/>
              </w:rPr>
              <w:t xml:space="preserve"> </w:t>
            </w:r>
            <w:r w:rsidR="001B095C" w:rsidRPr="001B095C">
              <w:rPr>
                <w:rFonts w:ascii="Arial" w:hAnsi="Arial" w:cs="Arial"/>
                <w:sz w:val="24"/>
              </w:rPr>
              <w:t>Practice educators must undertake regular training which is appropriate to</w:t>
            </w:r>
            <w:r w:rsidR="001B095C">
              <w:rPr>
                <w:rFonts w:ascii="Arial" w:hAnsi="Arial" w:cs="Arial"/>
                <w:sz w:val="24"/>
              </w:rPr>
              <w:t xml:space="preserve"> </w:t>
            </w:r>
            <w:r w:rsidR="001B095C" w:rsidRPr="001B095C">
              <w:rPr>
                <w:rFonts w:ascii="Arial" w:hAnsi="Arial" w:cs="Arial"/>
                <w:sz w:val="24"/>
              </w:rPr>
              <w:t>their role, learners’ needs and the delivery of the learning outcomes of the</w:t>
            </w:r>
            <w:r w:rsidR="001B095C">
              <w:rPr>
                <w:rFonts w:ascii="Arial" w:hAnsi="Arial" w:cs="Arial"/>
                <w:sz w:val="24"/>
              </w:rPr>
              <w:t xml:space="preserve"> </w:t>
            </w:r>
            <w:r w:rsidR="001B095C" w:rsidRPr="001B095C">
              <w:rPr>
                <w:rFonts w:ascii="Arial" w:hAnsi="Arial" w:cs="Arial"/>
                <w:sz w:val="24"/>
              </w:rPr>
              <w:t>programme.</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CF1D53" w:rsidRPr="006C7E37" w:rsidTr="00F61600">
        <w:trPr>
          <w:cantSplit/>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 xml:space="preserve">D.8 </w:t>
            </w:r>
            <w:r w:rsidR="001B095C" w:rsidRPr="001B095C">
              <w:rPr>
                <w:rFonts w:ascii="Arial" w:hAnsi="Arial" w:cs="Arial"/>
                <w:sz w:val="24"/>
              </w:rPr>
              <w:t>Learners and practice educators must have the information they need in a</w:t>
            </w:r>
            <w:r w:rsidR="001B095C">
              <w:rPr>
                <w:rFonts w:ascii="Arial" w:hAnsi="Arial" w:cs="Arial"/>
                <w:sz w:val="24"/>
              </w:rPr>
              <w:t xml:space="preserve"> </w:t>
            </w:r>
            <w:r w:rsidR="001B095C" w:rsidRPr="001B095C">
              <w:rPr>
                <w:rFonts w:ascii="Arial" w:hAnsi="Arial" w:cs="Arial"/>
                <w:sz w:val="24"/>
              </w:rPr>
              <w:t>timely manner in order to be prepared for practice based-learning</w:t>
            </w:r>
            <w:r w:rsidRPr="006C7E37">
              <w:rPr>
                <w:rFonts w:ascii="Arial" w:hAnsi="Arial" w:cs="Arial"/>
                <w:sz w:val="24"/>
              </w:rPr>
              <w:t>.</w:t>
            </w:r>
          </w:p>
        </w:tc>
        <w:tc>
          <w:tcPr>
            <w:tcW w:w="4848" w:type="dxa"/>
          </w:tcPr>
          <w:p w:rsidR="00CF1D53" w:rsidRPr="006C7E37" w:rsidRDefault="00CF1D53" w:rsidP="006C7E37">
            <w:pPr>
              <w:spacing w:before="60" w:after="60"/>
            </w:pPr>
          </w:p>
        </w:tc>
        <w:tc>
          <w:tcPr>
            <w:tcW w:w="4856" w:type="dxa"/>
            <w:shd w:val="clear" w:color="auto" w:fill="auto"/>
          </w:tcPr>
          <w:p w:rsidR="00CF1D53" w:rsidRPr="006C7E37" w:rsidRDefault="00CF1D53" w:rsidP="006C7E37">
            <w:pPr>
              <w:spacing w:before="60" w:after="60"/>
            </w:pPr>
          </w:p>
        </w:tc>
      </w:tr>
      <w:tr w:rsidR="001B095C" w:rsidRPr="006C7E37" w:rsidTr="00F61600">
        <w:trPr>
          <w:cantSplit/>
        </w:trPr>
        <w:tc>
          <w:tcPr>
            <w:tcW w:w="14562" w:type="dxa"/>
            <w:gridSpan w:val="3"/>
            <w:shd w:val="clear" w:color="auto" w:fill="BFBFBF"/>
          </w:tcPr>
          <w:p w:rsidR="001B095C" w:rsidRPr="006C7E37" w:rsidRDefault="001B095C" w:rsidP="006C7E37">
            <w:pPr>
              <w:spacing w:before="60" w:after="60"/>
              <w:rPr>
                <w:b/>
              </w:rPr>
            </w:pPr>
            <w:r w:rsidRPr="006C7E37">
              <w:rPr>
                <w:b/>
              </w:rPr>
              <w:t>Assessment</w:t>
            </w:r>
          </w:p>
        </w:tc>
      </w:tr>
      <w:tr w:rsidR="00CF1D53" w:rsidRPr="006C7E37" w:rsidTr="00F61600">
        <w:trPr>
          <w:trHeight w:val="1203"/>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b/>
                <w:sz w:val="24"/>
              </w:rPr>
            </w:pPr>
            <w:r w:rsidRPr="006C7E37">
              <w:rPr>
                <w:rFonts w:ascii="Arial" w:hAnsi="Arial" w:cs="Arial"/>
                <w:b/>
                <w:sz w:val="24"/>
              </w:rPr>
              <w:t>E.1</w:t>
            </w:r>
            <w:r w:rsidRPr="006C7E37">
              <w:rPr>
                <w:rFonts w:ascii="Arial" w:hAnsi="Arial" w:cs="Arial"/>
                <w:sz w:val="24"/>
              </w:rPr>
              <w:t xml:space="preserve"> </w:t>
            </w:r>
            <w:r w:rsidR="001B095C" w:rsidRPr="001B095C">
              <w:rPr>
                <w:rFonts w:ascii="Arial" w:hAnsi="Arial" w:cs="Arial"/>
                <w:sz w:val="24"/>
              </w:rPr>
              <w:t>The assessment strategy and design must ensure that those who successfully</w:t>
            </w:r>
            <w:r w:rsidR="001B095C">
              <w:rPr>
                <w:rFonts w:ascii="Arial" w:hAnsi="Arial" w:cs="Arial"/>
                <w:sz w:val="24"/>
              </w:rPr>
              <w:t xml:space="preserve"> </w:t>
            </w:r>
            <w:r w:rsidR="001B095C" w:rsidRPr="001B095C">
              <w:rPr>
                <w:rFonts w:ascii="Arial" w:hAnsi="Arial" w:cs="Arial"/>
                <w:sz w:val="24"/>
              </w:rPr>
              <w:t>complete the programme meet the standards set out in the Competency</w:t>
            </w:r>
            <w:r w:rsidR="001B095C">
              <w:rPr>
                <w:rFonts w:ascii="Arial" w:hAnsi="Arial" w:cs="Arial"/>
                <w:sz w:val="24"/>
              </w:rPr>
              <w:t xml:space="preserve"> </w:t>
            </w:r>
            <w:r w:rsidR="001B095C" w:rsidRPr="001B095C">
              <w:rPr>
                <w:rFonts w:ascii="Arial" w:hAnsi="Arial" w:cs="Arial"/>
                <w:sz w:val="24"/>
              </w:rPr>
              <w:t>Framework for all Prescribers, as appropriate to the prescribing mechanism</w:t>
            </w:r>
            <w:r w:rsidR="001B095C">
              <w:rPr>
                <w:rFonts w:ascii="Arial" w:hAnsi="Arial" w:cs="Arial"/>
                <w:sz w:val="24"/>
              </w:rPr>
              <w:t xml:space="preserve"> </w:t>
            </w:r>
            <w:r w:rsidR="001B095C" w:rsidRPr="001B095C">
              <w:rPr>
                <w:rFonts w:ascii="Arial" w:hAnsi="Arial" w:cs="Arial"/>
                <w:sz w:val="24"/>
              </w:rPr>
              <w:t>delivered by the programme.</w:t>
            </w:r>
          </w:p>
        </w:tc>
        <w:tc>
          <w:tcPr>
            <w:tcW w:w="4848" w:type="dxa"/>
          </w:tcPr>
          <w:p w:rsidR="00CF1D53" w:rsidRPr="006C7E37" w:rsidRDefault="00CF1D53" w:rsidP="006C7E37">
            <w:pPr>
              <w:pStyle w:val="BodyTextIndent"/>
              <w:spacing w:before="60" w:after="60"/>
              <w:ind w:left="0" w:firstLine="0"/>
              <w:rPr>
                <w:rFonts w:ascii="Arial" w:hAnsi="Arial" w:cs="Arial"/>
                <w:b/>
                <w:sz w:val="24"/>
              </w:rPr>
            </w:pPr>
          </w:p>
        </w:tc>
        <w:tc>
          <w:tcPr>
            <w:tcW w:w="4856" w:type="dxa"/>
            <w:shd w:val="clear" w:color="auto" w:fill="auto"/>
          </w:tcPr>
          <w:p w:rsidR="00CF1D53" w:rsidRPr="006C7E37" w:rsidRDefault="00CF1D53" w:rsidP="006C7E37">
            <w:pPr>
              <w:pStyle w:val="BodyTextIndent"/>
              <w:spacing w:before="60" w:after="60"/>
              <w:ind w:left="0" w:firstLine="0"/>
              <w:rPr>
                <w:rFonts w:ascii="Arial" w:hAnsi="Arial" w:cs="Arial"/>
                <w:b/>
                <w:sz w:val="24"/>
              </w:rPr>
            </w:pPr>
          </w:p>
        </w:tc>
      </w:tr>
      <w:tr w:rsidR="00CF1D53" w:rsidRPr="006C7E37" w:rsidTr="00F61600">
        <w:trPr>
          <w:trHeight w:val="985"/>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E.2</w:t>
            </w:r>
            <w:r w:rsidRPr="006C7E37">
              <w:rPr>
                <w:rFonts w:ascii="Arial" w:hAnsi="Arial" w:cs="Arial"/>
                <w:sz w:val="24"/>
              </w:rPr>
              <w:t xml:space="preserve"> </w:t>
            </w:r>
            <w:r w:rsidR="001B095C" w:rsidRPr="001B095C">
              <w:rPr>
                <w:rFonts w:ascii="Arial" w:hAnsi="Arial" w:cs="Arial"/>
                <w:sz w:val="24"/>
              </w:rPr>
              <w:t>Assessment throughout the programme must ensure that learners</w:t>
            </w:r>
            <w:r w:rsidR="001B095C">
              <w:rPr>
                <w:rFonts w:ascii="Arial" w:hAnsi="Arial" w:cs="Arial"/>
                <w:sz w:val="24"/>
              </w:rPr>
              <w:t xml:space="preserve"> </w:t>
            </w:r>
            <w:r w:rsidR="001B095C" w:rsidRPr="001B095C">
              <w:rPr>
                <w:rFonts w:ascii="Arial" w:hAnsi="Arial" w:cs="Arial"/>
                <w:sz w:val="24"/>
              </w:rPr>
              <w:t>demonstrate they are able to meet the expectations of professional behaviour,</w:t>
            </w:r>
            <w:r w:rsidR="001B095C">
              <w:rPr>
                <w:rFonts w:ascii="Arial" w:hAnsi="Arial" w:cs="Arial"/>
                <w:sz w:val="24"/>
              </w:rPr>
              <w:t xml:space="preserve"> </w:t>
            </w:r>
            <w:r w:rsidR="001B095C" w:rsidRPr="001B095C">
              <w:rPr>
                <w:rFonts w:ascii="Arial" w:hAnsi="Arial" w:cs="Arial"/>
                <w:sz w:val="24"/>
              </w:rPr>
              <w:t>including the standards of conduct, performance and ethics.</w:t>
            </w:r>
          </w:p>
        </w:tc>
        <w:tc>
          <w:tcPr>
            <w:tcW w:w="4848" w:type="dxa"/>
          </w:tcPr>
          <w:p w:rsidR="00CF1D53" w:rsidRPr="006C7E37" w:rsidRDefault="00CF1D53" w:rsidP="006C7E37">
            <w:pPr>
              <w:pStyle w:val="BodyTextIndent"/>
              <w:spacing w:before="60" w:after="60"/>
              <w:ind w:left="0" w:firstLine="0"/>
              <w:rPr>
                <w:rFonts w:ascii="Arial" w:hAnsi="Arial" w:cs="Arial"/>
                <w:b/>
                <w:sz w:val="24"/>
              </w:rPr>
            </w:pPr>
          </w:p>
        </w:tc>
        <w:tc>
          <w:tcPr>
            <w:tcW w:w="4856" w:type="dxa"/>
            <w:shd w:val="clear" w:color="auto" w:fill="auto"/>
          </w:tcPr>
          <w:p w:rsidR="00CF1D53" w:rsidRPr="006C7E37" w:rsidRDefault="00CF1D53" w:rsidP="006C7E37">
            <w:pPr>
              <w:pStyle w:val="BodyTextIndent"/>
              <w:spacing w:before="60" w:after="60"/>
              <w:ind w:left="0" w:firstLine="0"/>
              <w:rPr>
                <w:rFonts w:ascii="Arial" w:hAnsi="Arial" w:cs="Arial"/>
                <w:b/>
                <w:sz w:val="24"/>
              </w:rPr>
            </w:pPr>
          </w:p>
        </w:tc>
      </w:tr>
      <w:tr w:rsidR="00CF1D53" w:rsidRPr="006C7E37" w:rsidTr="00F61600">
        <w:trPr>
          <w:trHeight w:val="716"/>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E.3</w:t>
            </w:r>
            <w:r w:rsidRPr="006C7E37">
              <w:rPr>
                <w:rFonts w:ascii="Arial" w:hAnsi="Arial" w:cs="Arial"/>
                <w:sz w:val="24"/>
              </w:rPr>
              <w:t xml:space="preserve"> </w:t>
            </w:r>
            <w:r w:rsidR="001B095C" w:rsidRPr="001B095C">
              <w:rPr>
                <w:rFonts w:ascii="Arial" w:hAnsi="Arial" w:cs="Arial"/>
                <w:sz w:val="24"/>
              </w:rPr>
              <w:t>Assessments must provide an objective, fair and reliable measure of learners’</w:t>
            </w:r>
            <w:r w:rsidR="001B095C">
              <w:rPr>
                <w:rFonts w:ascii="Arial" w:hAnsi="Arial" w:cs="Arial"/>
                <w:sz w:val="24"/>
              </w:rPr>
              <w:t xml:space="preserve"> </w:t>
            </w:r>
            <w:r w:rsidR="001B095C" w:rsidRPr="001B095C">
              <w:rPr>
                <w:rFonts w:ascii="Arial" w:hAnsi="Arial" w:cs="Arial"/>
                <w:sz w:val="24"/>
              </w:rPr>
              <w:t>progression and achievement.</w:t>
            </w:r>
          </w:p>
        </w:tc>
        <w:tc>
          <w:tcPr>
            <w:tcW w:w="4848" w:type="dxa"/>
          </w:tcPr>
          <w:p w:rsidR="00CF1D53" w:rsidRPr="006C7E37" w:rsidRDefault="00CF1D53" w:rsidP="006C7E37">
            <w:pPr>
              <w:pStyle w:val="BodyTextIndent"/>
              <w:spacing w:before="60" w:after="60"/>
              <w:ind w:left="0" w:firstLine="0"/>
              <w:rPr>
                <w:rFonts w:ascii="Arial" w:hAnsi="Arial" w:cs="Arial"/>
                <w:b/>
                <w:sz w:val="24"/>
              </w:rPr>
            </w:pPr>
          </w:p>
        </w:tc>
        <w:tc>
          <w:tcPr>
            <w:tcW w:w="4856" w:type="dxa"/>
            <w:shd w:val="clear" w:color="auto" w:fill="auto"/>
          </w:tcPr>
          <w:p w:rsidR="00CF1D53" w:rsidRPr="006C7E37" w:rsidRDefault="00CF1D53" w:rsidP="006C7E37">
            <w:pPr>
              <w:pStyle w:val="BodyTextIndent"/>
              <w:spacing w:before="60" w:after="60"/>
              <w:ind w:left="0" w:firstLine="0"/>
              <w:rPr>
                <w:rFonts w:ascii="Arial" w:hAnsi="Arial" w:cs="Arial"/>
                <w:b/>
                <w:sz w:val="24"/>
              </w:rPr>
            </w:pPr>
          </w:p>
        </w:tc>
      </w:tr>
      <w:tr w:rsidR="00CF1D53" w:rsidRPr="006C7E37" w:rsidTr="00F61600">
        <w:trPr>
          <w:trHeight w:val="698"/>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E.4</w:t>
            </w:r>
            <w:r w:rsidRPr="006C7E37">
              <w:rPr>
                <w:rFonts w:ascii="Arial" w:hAnsi="Arial" w:cs="Arial"/>
                <w:sz w:val="24"/>
              </w:rPr>
              <w:t xml:space="preserve"> </w:t>
            </w:r>
            <w:r w:rsidR="001B095C" w:rsidRPr="001B095C">
              <w:rPr>
                <w:rFonts w:ascii="Arial" w:hAnsi="Arial" w:cs="Arial"/>
                <w:sz w:val="24"/>
              </w:rPr>
              <w:t>Assessment policies must clearly specify requirements for progression and</w:t>
            </w:r>
            <w:r w:rsidR="001B095C">
              <w:rPr>
                <w:rFonts w:ascii="Arial" w:hAnsi="Arial" w:cs="Arial"/>
                <w:sz w:val="24"/>
              </w:rPr>
              <w:t xml:space="preserve"> </w:t>
            </w:r>
            <w:r w:rsidR="001B095C" w:rsidRPr="001B095C">
              <w:rPr>
                <w:rFonts w:ascii="Arial" w:hAnsi="Arial" w:cs="Arial"/>
                <w:sz w:val="24"/>
              </w:rPr>
              <w:t>achievement within the programme.</w:t>
            </w:r>
          </w:p>
        </w:tc>
        <w:tc>
          <w:tcPr>
            <w:tcW w:w="4848" w:type="dxa"/>
          </w:tcPr>
          <w:p w:rsidR="00CF1D53" w:rsidRPr="006C7E37" w:rsidRDefault="00CF1D53" w:rsidP="006C7E37">
            <w:pPr>
              <w:pStyle w:val="BodyTextIndent"/>
              <w:spacing w:before="60" w:after="60"/>
              <w:ind w:left="0" w:firstLine="0"/>
              <w:rPr>
                <w:rFonts w:ascii="Arial" w:hAnsi="Arial" w:cs="Arial"/>
                <w:b/>
                <w:sz w:val="24"/>
              </w:rPr>
            </w:pPr>
          </w:p>
        </w:tc>
        <w:tc>
          <w:tcPr>
            <w:tcW w:w="4856" w:type="dxa"/>
            <w:shd w:val="clear" w:color="auto" w:fill="auto"/>
          </w:tcPr>
          <w:p w:rsidR="00CF1D53" w:rsidRPr="006C7E37" w:rsidRDefault="00CF1D53" w:rsidP="006C7E37">
            <w:pPr>
              <w:pStyle w:val="BodyTextIndent"/>
              <w:spacing w:before="60" w:after="60"/>
              <w:ind w:left="0" w:firstLine="0"/>
              <w:rPr>
                <w:rFonts w:ascii="Arial" w:hAnsi="Arial" w:cs="Arial"/>
                <w:b/>
                <w:sz w:val="24"/>
              </w:rPr>
            </w:pPr>
          </w:p>
        </w:tc>
      </w:tr>
      <w:tr w:rsidR="00CF1D53" w:rsidRPr="006C7E37" w:rsidTr="00F61600">
        <w:trPr>
          <w:trHeight w:val="680"/>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E.5</w:t>
            </w:r>
            <w:r w:rsidRPr="006C7E37">
              <w:rPr>
                <w:rFonts w:ascii="Arial" w:hAnsi="Arial" w:cs="Arial"/>
                <w:sz w:val="24"/>
              </w:rPr>
              <w:t xml:space="preserve"> </w:t>
            </w:r>
            <w:r w:rsidR="001B095C" w:rsidRPr="001B095C">
              <w:rPr>
                <w:rFonts w:ascii="Arial" w:hAnsi="Arial" w:cs="Arial"/>
                <w:sz w:val="24"/>
              </w:rPr>
              <w:t>The assessment methods used must be appropriate to, and effective at,</w:t>
            </w:r>
            <w:r w:rsidR="001B095C">
              <w:rPr>
                <w:rFonts w:ascii="Arial" w:hAnsi="Arial" w:cs="Arial"/>
                <w:sz w:val="24"/>
              </w:rPr>
              <w:t xml:space="preserve"> </w:t>
            </w:r>
            <w:r w:rsidR="001B095C" w:rsidRPr="001B095C">
              <w:rPr>
                <w:rFonts w:ascii="Arial" w:hAnsi="Arial" w:cs="Arial"/>
                <w:sz w:val="24"/>
              </w:rPr>
              <w:t>measuring the learning outcomes.</w:t>
            </w:r>
          </w:p>
        </w:tc>
        <w:tc>
          <w:tcPr>
            <w:tcW w:w="4848" w:type="dxa"/>
          </w:tcPr>
          <w:p w:rsidR="00CF1D53" w:rsidRPr="006C7E37" w:rsidRDefault="00CF1D53" w:rsidP="006C7E37">
            <w:pPr>
              <w:pStyle w:val="BodyTextIndent"/>
              <w:spacing w:before="60" w:after="60"/>
              <w:ind w:left="0" w:firstLine="0"/>
              <w:rPr>
                <w:rFonts w:ascii="Arial" w:hAnsi="Arial" w:cs="Arial"/>
                <w:b/>
                <w:sz w:val="24"/>
              </w:rPr>
            </w:pPr>
          </w:p>
        </w:tc>
        <w:tc>
          <w:tcPr>
            <w:tcW w:w="4856" w:type="dxa"/>
            <w:shd w:val="clear" w:color="auto" w:fill="auto"/>
          </w:tcPr>
          <w:p w:rsidR="00CF1D53" w:rsidRPr="006C7E37" w:rsidRDefault="00CF1D53" w:rsidP="006C7E37">
            <w:pPr>
              <w:pStyle w:val="BodyTextIndent"/>
              <w:spacing w:before="60" w:after="60"/>
              <w:ind w:left="0" w:firstLine="0"/>
              <w:rPr>
                <w:rFonts w:ascii="Arial" w:hAnsi="Arial" w:cs="Arial"/>
                <w:b/>
                <w:sz w:val="24"/>
              </w:rPr>
            </w:pPr>
          </w:p>
        </w:tc>
      </w:tr>
      <w:tr w:rsidR="00CF1D53" w:rsidRPr="006C7E37" w:rsidTr="00F61600">
        <w:trPr>
          <w:trHeight w:val="703"/>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E.6</w:t>
            </w:r>
            <w:r w:rsidRPr="006C7E37">
              <w:rPr>
                <w:rFonts w:ascii="Arial" w:hAnsi="Arial" w:cs="Arial"/>
                <w:sz w:val="24"/>
              </w:rPr>
              <w:t xml:space="preserve"> </w:t>
            </w:r>
            <w:r w:rsidR="001B095C" w:rsidRPr="001B095C">
              <w:rPr>
                <w:rFonts w:ascii="Arial" w:hAnsi="Arial" w:cs="Arial"/>
                <w:sz w:val="24"/>
              </w:rPr>
              <w:t>There must be effective processes in place for learners to make academic</w:t>
            </w:r>
            <w:r w:rsidR="001B095C">
              <w:rPr>
                <w:rFonts w:ascii="Arial" w:hAnsi="Arial" w:cs="Arial"/>
                <w:sz w:val="24"/>
              </w:rPr>
              <w:t xml:space="preserve"> </w:t>
            </w:r>
            <w:r w:rsidR="001B095C" w:rsidRPr="001B095C">
              <w:rPr>
                <w:rFonts w:ascii="Arial" w:hAnsi="Arial" w:cs="Arial"/>
                <w:sz w:val="24"/>
              </w:rPr>
              <w:t>appeals.</w:t>
            </w:r>
          </w:p>
        </w:tc>
        <w:tc>
          <w:tcPr>
            <w:tcW w:w="4848" w:type="dxa"/>
          </w:tcPr>
          <w:p w:rsidR="00CF1D53" w:rsidRPr="006C7E37" w:rsidRDefault="00CF1D53" w:rsidP="006C7E37">
            <w:pPr>
              <w:pStyle w:val="BodyTextIndent"/>
              <w:spacing w:before="60" w:after="60"/>
              <w:ind w:left="0" w:firstLine="0"/>
              <w:rPr>
                <w:rFonts w:ascii="Arial" w:hAnsi="Arial" w:cs="Arial"/>
                <w:b/>
                <w:sz w:val="24"/>
              </w:rPr>
            </w:pPr>
          </w:p>
        </w:tc>
        <w:tc>
          <w:tcPr>
            <w:tcW w:w="4856" w:type="dxa"/>
            <w:shd w:val="clear" w:color="auto" w:fill="auto"/>
          </w:tcPr>
          <w:p w:rsidR="00CF1D53" w:rsidRPr="006C7E37" w:rsidRDefault="00CF1D53" w:rsidP="006C7E37">
            <w:pPr>
              <w:pStyle w:val="BodyTextIndent"/>
              <w:spacing w:before="60" w:after="60"/>
              <w:ind w:left="0" w:firstLine="0"/>
              <w:rPr>
                <w:rFonts w:ascii="Arial" w:hAnsi="Arial" w:cs="Arial"/>
                <w:b/>
                <w:sz w:val="24"/>
              </w:rPr>
            </w:pPr>
          </w:p>
        </w:tc>
      </w:tr>
      <w:tr w:rsidR="00CF1D53" w:rsidRPr="006C7E37" w:rsidTr="00F61600">
        <w:trPr>
          <w:trHeight w:val="713"/>
        </w:trPr>
        <w:tc>
          <w:tcPr>
            <w:tcW w:w="4858" w:type="dxa"/>
            <w:shd w:val="clear" w:color="auto" w:fill="auto"/>
          </w:tcPr>
          <w:p w:rsidR="00CF1D53" w:rsidRPr="006C7E37" w:rsidRDefault="00CF1D53" w:rsidP="001B095C">
            <w:pPr>
              <w:pStyle w:val="BodyTextIndent"/>
              <w:spacing w:before="60" w:after="60"/>
              <w:ind w:left="0" w:firstLine="0"/>
              <w:rPr>
                <w:rFonts w:ascii="Arial" w:hAnsi="Arial" w:cs="Arial"/>
                <w:sz w:val="24"/>
              </w:rPr>
            </w:pPr>
            <w:r w:rsidRPr="006C7E37">
              <w:rPr>
                <w:rFonts w:ascii="Arial" w:hAnsi="Arial" w:cs="Arial"/>
                <w:b/>
                <w:sz w:val="24"/>
              </w:rPr>
              <w:t>E.7</w:t>
            </w:r>
            <w:r w:rsidRPr="006C7E37">
              <w:rPr>
                <w:rFonts w:ascii="Arial" w:hAnsi="Arial" w:cs="Arial"/>
                <w:sz w:val="24"/>
              </w:rPr>
              <w:t xml:space="preserve"> </w:t>
            </w:r>
            <w:r w:rsidR="001B095C" w:rsidRPr="001B095C">
              <w:rPr>
                <w:rFonts w:ascii="Arial" w:hAnsi="Arial" w:cs="Arial"/>
                <w:sz w:val="24"/>
              </w:rPr>
              <w:t>The education provider must ensure that at least one external examiner for</w:t>
            </w:r>
            <w:r w:rsidR="001B095C">
              <w:rPr>
                <w:rFonts w:ascii="Arial" w:hAnsi="Arial" w:cs="Arial"/>
                <w:sz w:val="24"/>
              </w:rPr>
              <w:t xml:space="preserve"> </w:t>
            </w:r>
            <w:r w:rsidR="001B095C" w:rsidRPr="001B095C">
              <w:rPr>
                <w:rFonts w:ascii="Arial" w:hAnsi="Arial" w:cs="Arial"/>
                <w:sz w:val="24"/>
              </w:rPr>
              <w:t>the programme is an appropriately qualified and experienced prescriber and</w:t>
            </w:r>
            <w:r w:rsidR="001B095C">
              <w:rPr>
                <w:rFonts w:ascii="Arial" w:hAnsi="Arial" w:cs="Arial"/>
                <w:sz w:val="24"/>
              </w:rPr>
              <w:t xml:space="preserve"> </w:t>
            </w:r>
            <w:r w:rsidR="001B095C" w:rsidRPr="001B095C">
              <w:rPr>
                <w:rFonts w:ascii="Arial" w:hAnsi="Arial" w:cs="Arial"/>
                <w:sz w:val="24"/>
              </w:rPr>
              <w:t>on the register of their statutory regulator with annotation(s) for prescribing</w:t>
            </w:r>
            <w:r w:rsidR="001B095C">
              <w:rPr>
                <w:rFonts w:ascii="Arial" w:hAnsi="Arial" w:cs="Arial"/>
                <w:sz w:val="24"/>
              </w:rPr>
              <w:t xml:space="preserve"> </w:t>
            </w:r>
            <w:r w:rsidR="001B095C" w:rsidRPr="001B095C">
              <w:rPr>
                <w:rFonts w:ascii="Arial" w:hAnsi="Arial" w:cs="Arial"/>
                <w:sz w:val="24"/>
              </w:rPr>
              <w:t>where applicable.</w:t>
            </w:r>
          </w:p>
        </w:tc>
        <w:tc>
          <w:tcPr>
            <w:tcW w:w="4848" w:type="dxa"/>
          </w:tcPr>
          <w:p w:rsidR="00CF1D53" w:rsidRPr="006C7E37" w:rsidRDefault="00CF1D53" w:rsidP="006C7E37">
            <w:pPr>
              <w:pStyle w:val="BodyTextIndent"/>
              <w:spacing w:before="60" w:after="60"/>
              <w:ind w:left="0" w:firstLine="0"/>
              <w:rPr>
                <w:rFonts w:ascii="Arial" w:hAnsi="Arial" w:cs="Arial"/>
                <w:b/>
                <w:sz w:val="24"/>
              </w:rPr>
            </w:pPr>
          </w:p>
        </w:tc>
        <w:tc>
          <w:tcPr>
            <w:tcW w:w="4856" w:type="dxa"/>
            <w:shd w:val="clear" w:color="auto" w:fill="auto"/>
          </w:tcPr>
          <w:p w:rsidR="00CF1D53" w:rsidRPr="006C7E37" w:rsidRDefault="00CF1D53" w:rsidP="006C7E37">
            <w:pPr>
              <w:pStyle w:val="BodyTextIndent"/>
              <w:spacing w:before="60" w:after="60"/>
              <w:ind w:left="0" w:firstLine="0"/>
              <w:rPr>
                <w:rFonts w:ascii="Arial" w:hAnsi="Arial" w:cs="Arial"/>
                <w:b/>
                <w:sz w:val="24"/>
              </w:rPr>
            </w:pPr>
          </w:p>
        </w:tc>
      </w:tr>
    </w:tbl>
    <w:p w:rsidR="00FA0B19" w:rsidRPr="00AA1459" w:rsidRDefault="001B095C" w:rsidP="001B095C">
      <w:pPr>
        <w:pStyle w:val="Heading2"/>
      </w:pPr>
      <w:r w:rsidRPr="00AA1459">
        <w:t xml:space="preserve"> </w:t>
      </w:r>
    </w:p>
    <w:p w:rsidR="004E452D" w:rsidRPr="00AA1459" w:rsidRDefault="004E452D" w:rsidP="00AA1459"/>
    <w:sectPr w:rsidR="004E452D" w:rsidRPr="00AA1459" w:rsidSect="0027160D">
      <w:footerReference w:type="default" r:id="rId9"/>
      <w:headerReference w:type="first" r:id="rId10"/>
      <w:footerReference w:type="first" r:id="rId11"/>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A1" w:rsidRDefault="00B826A1" w:rsidP="00AA1459">
      <w:r>
        <w:separator/>
      </w:r>
    </w:p>
  </w:endnote>
  <w:endnote w:type="continuationSeparator" w:id="0">
    <w:p w:rsidR="00B826A1" w:rsidRDefault="00B826A1" w:rsidP="00AA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0D" w:rsidRPr="0027160D" w:rsidRDefault="0027160D">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F61600">
      <w:rPr>
        <w:noProof/>
        <w:sz w:val="20"/>
        <w:szCs w:val="20"/>
      </w:rPr>
      <w:t>6</w:t>
    </w:r>
    <w:r w:rsidRPr="0027160D">
      <w:rPr>
        <w:noProof/>
        <w:sz w:val="20"/>
        <w:szCs w:val="20"/>
      </w:rPr>
      <w:fldChar w:fldCharType="end"/>
    </w:r>
  </w:p>
  <w:p w:rsidR="0027160D" w:rsidRDefault="00271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0D" w:rsidRPr="0027160D" w:rsidRDefault="0027160D">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F61600">
      <w:rPr>
        <w:noProof/>
        <w:sz w:val="20"/>
        <w:szCs w:val="20"/>
      </w:rPr>
      <w:t>1</w:t>
    </w:r>
    <w:r w:rsidRPr="0027160D">
      <w:rPr>
        <w:noProof/>
        <w:sz w:val="20"/>
        <w:szCs w:val="20"/>
      </w:rPr>
      <w:fldChar w:fldCharType="end"/>
    </w:r>
  </w:p>
  <w:p w:rsidR="0027160D" w:rsidRDefault="0027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A1" w:rsidRDefault="00B826A1" w:rsidP="00AA1459">
      <w:r>
        <w:separator/>
      </w:r>
    </w:p>
  </w:footnote>
  <w:footnote w:type="continuationSeparator" w:id="0">
    <w:p w:rsidR="00B826A1" w:rsidRDefault="00B826A1" w:rsidP="00AA1459">
      <w:r>
        <w:continuationSeparator/>
      </w:r>
    </w:p>
  </w:footnote>
  <w:footnote w:id="1">
    <w:p w:rsidR="00953140" w:rsidRPr="00953140" w:rsidRDefault="00953140">
      <w:pPr>
        <w:pStyle w:val="FootnoteText"/>
        <w:rPr>
          <w:rFonts w:ascii="Arial" w:hAnsi="Arial" w:cs="Arial"/>
          <w:lang w:val="en-GB"/>
        </w:rPr>
      </w:pPr>
      <w:r w:rsidRPr="00953140">
        <w:rPr>
          <w:rStyle w:val="FootnoteReference"/>
          <w:rFonts w:ascii="Arial" w:hAnsi="Arial" w:cs="Arial"/>
        </w:rPr>
        <w:footnoteRef/>
      </w:r>
      <w:r w:rsidRPr="00953140">
        <w:rPr>
          <w:rFonts w:ascii="Arial" w:hAnsi="Arial" w:cs="Arial"/>
        </w:rPr>
        <w:t xml:space="preserve"> </w:t>
      </w:r>
      <w:r>
        <w:rPr>
          <w:rFonts w:ascii="Arial" w:hAnsi="Arial" w:cs="Arial"/>
        </w:rPr>
        <w:t xml:space="preserve">Royal Pharmaceutical Society’s Prescribing Competency Framework, accessible at </w:t>
      </w:r>
      <w:hyperlink r:id="rId1" w:history="1">
        <w:r w:rsidRPr="00703FC7">
          <w:rPr>
            <w:rStyle w:val="Hyperlink"/>
            <w:rFonts w:ascii="Arial" w:hAnsi="Arial" w:cs="Arial"/>
          </w:rPr>
          <w:t>https://www.rpharms.com/resources/frameworks/prescribers-competency-framework</w:t>
        </w:r>
      </w:hyperlink>
    </w:p>
  </w:footnote>
  <w:footnote w:id="2">
    <w:p w:rsidR="00953140" w:rsidRPr="00953140" w:rsidRDefault="00953140">
      <w:pPr>
        <w:pStyle w:val="FootnoteText"/>
        <w:rPr>
          <w:lang w:val="en-GB"/>
        </w:rPr>
      </w:pPr>
      <w:r w:rsidRPr="00953140">
        <w:rPr>
          <w:rStyle w:val="FootnoteReference"/>
          <w:rFonts w:ascii="Arial" w:hAnsi="Arial" w:cs="Arial"/>
        </w:rPr>
        <w:footnoteRef/>
      </w:r>
      <w:r w:rsidRPr="00953140">
        <w:rPr>
          <w:rFonts w:ascii="Arial" w:hAnsi="Arial" w:cs="Arial"/>
        </w:rPr>
        <w:t xml:space="preserve"> </w:t>
      </w:r>
      <w:r>
        <w:rPr>
          <w:rFonts w:ascii="Arial" w:hAnsi="Arial" w:cs="Arial"/>
        </w:rPr>
        <w:t>Through this document, b</w:t>
      </w:r>
      <w:r w:rsidRPr="00953140">
        <w:rPr>
          <w:rFonts w:ascii="Arial" w:hAnsi="Arial" w:cs="Arial"/>
        </w:rPr>
        <w:t>y ‘prescribing mechanisms’, we mean independent or supplementary prescribing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BA" w:rsidRDefault="003A0666" w:rsidP="00AA1459">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13970</wp:posOffset>
          </wp:positionV>
          <wp:extent cx="10692130" cy="1801495"/>
          <wp:effectExtent l="0" t="0" r="0" b="0"/>
          <wp:wrapNone/>
          <wp:docPr id="1" name="Placeholder"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61FF"/>
    <w:multiLevelType w:val="hybridMultilevel"/>
    <w:tmpl w:val="3CD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54DEE"/>
    <w:multiLevelType w:val="hybridMultilevel"/>
    <w:tmpl w:val="DD18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D5719"/>
    <w:multiLevelType w:val="hybridMultilevel"/>
    <w:tmpl w:val="488A2A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90EE3"/>
    <w:multiLevelType w:val="hybridMultilevel"/>
    <w:tmpl w:val="A4EC6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87EF5"/>
    <w:multiLevelType w:val="hybridMultilevel"/>
    <w:tmpl w:val="80F823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F6024"/>
    <w:multiLevelType w:val="hybridMultilevel"/>
    <w:tmpl w:val="28CEC1EE"/>
    <w:lvl w:ilvl="0" w:tplc="1090BF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F45B4"/>
    <w:multiLevelType w:val="hybridMultilevel"/>
    <w:tmpl w:val="A3100E98"/>
    <w:lvl w:ilvl="0" w:tplc="1090BF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F5"/>
    <w:rsid w:val="000447B4"/>
    <w:rsid w:val="00054B2D"/>
    <w:rsid w:val="0009219F"/>
    <w:rsid w:val="000C41CD"/>
    <w:rsid w:val="00105030"/>
    <w:rsid w:val="00145CE5"/>
    <w:rsid w:val="001B095C"/>
    <w:rsid w:val="001B2515"/>
    <w:rsid w:val="001C0A76"/>
    <w:rsid w:val="001F6A8E"/>
    <w:rsid w:val="00226DB0"/>
    <w:rsid w:val="0027160D"/>
    <w:rsid w:val="002B4E5A"/>
    <w:rsid w:val="00301DD7"/>
    <w:rsid w:val="003A0666"/>
    <w:rsid w:val="0043778E"/>
    <w:rsid w:val="004C1459"/>
    <w:rsid w:val="004E452D"/>
    <w:rsid w:val="0052141C"/>
    <w:rsid w:val="005922CD"/>
    <w:rsid w:val="005E1079"/>
    <w:rsid w:val="00671B38"/>
    <w:rsid w:val="006C7E37"/>
    <w:rsid w:val="007118F5"/>
    <w:rsid w:val="007557E5"/>
    <w:rsid w:val="00872FD0"/>
    <w:rsid w:val="008C20BA"/>
    <w:rsid w:val="00934315"/>
    <w:rsid w:val="00953140"/>
    <w:rsid w:val="0097464C"/>
    <w:rsid w:val="00A13753"/>
    <w:rsid w:val="00A25DDF"/>
    <w:rsid w:val="00A473CA"/>
    <w:rsid w:val="00A6791B"/>
    <w:rsid w:val="00AA1459"/>
    <w:rsid w:val="00AF4B9E"/>
    <w:rsid w:val="00B64754"/>
    <w:rsid w:val="00B826A1"/>
    <w:rsid w:val="00BD05F6"/>
    <w:rsid w:val="00BD2B0C"/>
    <w:rsid w:val="00CF1D53"/>
    <w:rsid w:val="00D04ADE"/>
    <w:rsid w:val="00DD2FEC"/>
    <w:rsid w:val="00E85AB5"/>
    <w:rsid w:val="00F61600"/>
    <w:rsid w:val="00F775FC"/>
    <w:rsid w:val="00FA0B19"/>
    <w:rsid w:val="00FA14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AA02907-847C-4B8D-994F-D33166AC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customStyle="1" w:styleId="HeaderChar">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customStyle="1" w:styleId="FooterChar">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customStyle="1" w:styleId="BalloonTextChar">
    <w:name w:val="Balloon Text Char"/>
    <w:link w:val="BalloonText"/>
    <w:uiPriority w:val="99"/>
    <w:semiHidden/>
    <w:rsid w:val="007118F5"/>
    <w:rPr>
      <w:rFonts w:ascii="Lucida Grande" w:hAnsi="Lucida Grande" w:cs="Lucida Grande"/>
      <w:sz w:val="18"/>
      <w:szCs w:val="18"/>
    </w:rPr>
  </w:style>
  <w:style w:type="paragraph" w:customStyle="1" w:styleId="HCPCBodytext14pt">
    <w:name w:val="HCPC Body text 14pt"/>
    <w:basedOn w:val="Normal"/>
    <w:rsid w:val="0043778E"/>
    <w:rPr>
      <w:sz w:val="28"/>
    </w:rPr>
  </w:style>
  <w:style w:type="character" w:customStyle="1" w:styleId="Heading1Char">
    <w:name w:val="Heading 1 Char"/>
    <w:link w:val="Heading1"/>
    <w:uiPriority w:val="9"/>
    <w:rsid w:val="00AA1459"/>
    <w:rPr>
      <w:rFonts w:ascii="Arial" w:hAnsi="Arial" w:cs="Arial"/>
      <w:sz w:val="28"/>
      <w:szCs w:val="28"/>
      <w:lang w:val="en-GB"/>
    </w:rPr>
  </w:style>
  <w:style w:type="character" w:customStyle="1" w:styleId="Heading2Char">
    <w:name w:val="Heading 2 Char"/>
    <w:link w:val="Heading2"/>
    <w:uiPriority w:val="9"/>
    <w:rsid w:val="00AA1459"/>
    <w:rPr>
      <w:rFonts w:ascii="Arial" w:hAnsi="Arial" w:cs="Arial"/>
      <w:b/>
      <w:lang w:val="en-GB"/>
    </w:rPr>
  </w:style>
  <w:style w:type="table" w:styleId="TableGrid">
    <w:name w:val="Table Grid"/>
    <w:basedOn w:val="TableNormal"/>
    <w:uiPriority w:val="59"/>
    <w:rsid w:val="004E4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52D"/>
    <w:pPr>
      <w:ind w:left="720"/>
      <w:contextualSpacing/>
    </w:pPr>
  </w:style>
  <w:style w:type="paragraph" w:styleId="BodyTextIndent">
    <w:name w:val="Body Text Indent"/>
    <w:basedOn w:val="Normal"/>
    <w:link w:val="BodyTextIndentChar"/>
    <w:rsid w:val="00B64754"/>
    <w:pPr>
      <w:spacing w:after="120"/>
      <w:ind w:left="900" w:hanging="540"/>
    </w:pPr>
    <w:rPr>
      <w:rFonts w:ascii="Verdana" w:eastAsia="Times New Roman" w:hAnsi="Verdana" w:cs="Times New Roman"/>
      <w:sz w:val="18"/>
    </w:rPr>
  </w:style>
  <w:style w:type="character" w:customStyle="1" w:styleId="BodyTextIndentChar">
    <w:name w:val="Body Text Indent Char"/>
    <w:link w:val="BodyTextIndent"/>
    <w:rsid w:val="00B64754"/>
    <w:rPr>
      <w:rFonts w:ascii="Verdana" w:eastAsia="Times New Roman" w:hAnsi="Verdana" w:cs="Times New Roman"/>
      <w:sz w:val="18"/>
      <w:lang w:val="en-GB"/>
    </w:rPr>
  </w:style>
  <w:style w:type="paragraph" w:styleId="FootnoteText">
    <w:name w:val="footnote text"/>
    <w:basedOn w:val="Normal"/>
    <w:link w:val="FootnoteTextChar"/>
    <w:uiPriority w:val="99"/>
    <w:semiHidden/>
    <w:unhideWhenUsed/>
    <w:rsid w:val="00B64754"/>
    <w:rPr>
      <w:rFonts w:ascii="Cambria" w:hAnsi="Cambria" w:cs="Times New Roman"/>
      <w:sz w:val="20"/>
      <w:szCs w:val="20"/>
      <w:lang w:val="en-US"/>
    </w:rPr>
  </w:style>
  <w:style w:type="character" w:customStyle="1" w:styleId="FootnoteTextChar">
    <w:name w:val="Footnote Text Char"/>
    <w:link w:val="FootnoteText"/>
    <w:uiPriority w:val="99"/>
    <w:semiHidden/>
    <w:rsid w:val="00B64754"/>
    <w:rPr>
      <w:rFonts w:ascii="Cambria" w:eastAsia="MS Mincho" w:hAnsi="Cambria" w:cs="Times New Roman"/>
      <w:sz w:val="20"/>
      <w:szCs w:val="20"/>
    </w:rPr>
  </w:style>
  <w:style w:type="character" w:styleId="FootnoteReference">
    <w:name w:val="footnote reference"/>
    <w:uiPriority w:val="99"/>
    <w:semiHidden/>
    <w:unhideWhenUsed/>
    <w:rsid w:val="00B64754"/>
    <w:rPr>
      <w:vertAlign w:val="superscript"/>
    </w:rPr>
  </w:style>
  <w:style w:type="character" w:styleId="Hyperlink">
    <w:name w:val="Hyperlink"/>
    <w:uiPriority w:val="99"/>
    <w:unhideWhenUsed/>
    <w:rsid w:val="00CF1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education/resources/mapping-documents-and-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pharms.com/resources/frameworks/prescribers-competency-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2543-7176-4238-BDA7-C69EBA12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11786</CharactersWithSpaces>
  <SharedDoc>false</SharedDoc>
  <HLinks>
    <vt:vector size="12" baseType="variant">
      <vt:variant>
        <vt:i4>6422633</vt:i4>
      </vt:variant>
      <vt:variant>
        <vt:i4>0</vt:i4>
      </vt:variant>
      <vt:variant>
        <vt:i4>0</vt:i4>
      </vt:variant>
      <vt:variant>
        <vt:i4>5</vt:i4>
      </vt:variant>
      <vt:variant>
        <vt:lpwstr>https://www.hcpc-uk.org/education/resources/mapping-documents-and-guidance/</vt:lpwstr>
      </vt:variant>
      <vt:variant>
        <vt:lpwstr/>
      </vt:variant>
      <vt:variant>
        <vt:i4>5374023</vt:i4>
      </vt:variant>
      <vt:variant>
        <vt:i4>0</vt:i4>
      </vt:variant>
      <vt:variant>
        <vt:i4>0</vt:i4>
      </vt:variant>
      <vt:variant>
        <vt:i4>5</vt:i4>
      </vt:variant>
      <vt:variant>
        <vt:lpwstr>https://www.rpharms.com/resources/frameworks/prescribers-competency-framework</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huntj@hcpc-uk.org</vt:lpwstr>
  </property>
  <property fmtid="{D5CDD505-2E9C-101B-9397-08002B2CF9AE}" pid="5" name="MSIP_Label_9811e234-adb8-40d2-945d-32bf08ea3300_SetDate">
    <vt:lpwstr>2019-07-31T08:03:43.7585491Z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ies>
</file>